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14" w:rsidRPr="00406AD4" w:rsidRDefault="005860A1" w:rsidP="00406AD4">
      <w:pPr>
        <w:jc w:val="center"/>
        <w:rPr>
          <w:rFonts w:ascii="Arial" w:eastAsia="Times New Roman" w:hAnsi="Arial" w:cs="Arial"/>
        </w:rPr>
      </w:pPr>
      <w:r w:rsidRPr="00D05A06">
        <w:rPr>
          <w:rFonts w:ascii="Arial" w:eastAsia="Times New Roman" w:hAnsi="Arial" w:cs="Arial"/>
          <w:b/>
          <w:u w:val="single"/>
        </w:rPr>
        <w:t>POLICY ON PRESERVATION OF DOCUMENTS</w:t>
      </w:r>
    </w:p>
    <w:p w:rsidR="00FF5A21" w:rsidRPr="001337DB" w:rsidRDefault="00FF5A21" w:rsidP="00E9479A">
      <w:pPr>
        <w:ind w:left="990"/>
        <w:jc w:val="both"/>
        <w:rPr>
          <w:rFonts w:ascii="Arial" w:eastAsia="Times New Roman" w:hAnsi="Arial" w:cs="Arial"/>
          <w:sz w:val="20"/>
          <w:szCs w:val="20"/>
        </w:rPr>
      </w:pPr>
      <w:r w:rsidRPr="001337DB">
        <w:rPr>
          <w:rFonts w:ascii="Arial" w:eastAsia="Times New Roman" w:hAnsi="Arial" w:cs="Arial"/>
          <w:sz w:val="20"/>
          <w:szCs w:val="20"/>
        </w:rPr>
        <w:t>The Securities and Exchange Board of India (SEBI), vide notification dated 2</w:t>
      </w:r>
      <w:r w:rsidRPr="001337DB">
        <w:rPr>
          <w:rFonts w:ascii="Arial" w:eastAsia="Times New Roman" w:hAnsi="Arial" w:cs="Arial"/>
          <w:sz w:val="20"/>
          <w:szCs w:val="20"/>
          <w:vertAlign w:val="superscript"/>
        </w:rPr>
        <w:t>nd</w:t>
      </w:r>
      <w:r w:rsidRPr="001337DB">
        <w:rPr>
          <w:rFonts w:ascii="Arial" w:eastAsia="Times New Roman" w:hAnsi="Arial" w:cs="Arial"/>
          <w:sz w:val="20"/>
          <w:szCs w:val="20"/>
        </w:rPr>
        <w:t xml:space="preserve"> September, 2015, issued SEBI (Listing Obligations and Disclosure Requirements) Regulations, 2015.  These Regulations would come into force </w:t>
      </w:r>
      <w:r w:rsidRPr="001337DB">
        <w:rPr>
          <w:rFonts w:ascii="Arial" w:hAnsi="Arial" w:cs="Arial"/>
          <w:sz w:val="20"/>
          <w:szCs w:val="20"/>
        </w:rPr>
        <w:t>on the</w:t>
      </w:r>
      <w:r w:rsidRPr="001337DB">
        <w:rPr>
          <w:rFonts w:ascii="Arial" w:eastAsia="Times New Roman" w:hAnsi="Arial" w:cs="Arial"/>
          <w:sz w:val="20"/>
          <w:szCs w:val="20"/>
        </w:rPr>
        <w:t xml:space="preserve"> ninetieth day from the date of notification. </w:t>
      </w:r>
      <w:proofErr w:type="spellStart"/>
      <w:proofErr w:type="gramStart"/>
      <w:r w:rsidRPr="001337DB">
        <w:rPr>
          <w:rFonts w:ascii="Arial" w:hAnsi="Arial" w:cs="Arial"/>
          <w:sz w:val="20"/>
          <w:szCs w:val="20"/>
        </w:rPr>
        <w:t>i.e</w:t>
      </w:r>
      <w:proofErr w:type="spellEnd"/>
      <w:proofErr w:type="gramEnd"/>
      <w:r w:rsidRPr="001337DB">
        <w:rPr>
          <w:rFonts w:ascii="Arial" w:hAnsi="Arial" w:cs="Arial"/>
          <w:sz w:val="20"/>
          <w:szCs w:val="20"/>
        </w:rPr>
        <w:t xml:space="preserve"> 1</w:t>
      </w:r>
      <w:r w:rsidRPr="001337DB">
        <w:rPr>
          <w:rFonts w:ascii="Arial" w:hAnsi="Arial" w:cs="Arial"/>
          <w:sz w:val="20"/>
          <w:szCs w:val="20"/>
          <w:vertAlign w:val="superscript"/>
        </w:rPr>
        <w:t>st</w:t>
      </w:r>
      <w:r w:rsidRPr="001337DB">
        <w:rPr>
          <w:rFonts w:ascii="Arial" w:hAnsi="Arial" w:cs="Arial"/>
          <w:sz w:val="20"/>
          <w:szCs w:val="20"/>
        </w:rPr>
        <w:t xml:space="preserve"> December, 2015.</w:t>
      </w:r>
    </w:p>
    <w:p w:rsidR="00A404DD" w:rsidRPr="001337DB" w:rsidRDefault="00A404DD" w:rsidP="00E9479A">
      <w:pPr>
        <w:pStyle w:val="ListParagraph"/>
        <w:spacing w:after="0"/>
        <w:ind w:left="990"/>
        <w:jc w:val="both"/>
        <w:rPr>
          <w:rFonts w:ascii="Arial" w:hAnsi="Arial" w:cs="Arial"/>
          <w:sz w:val="20"/>
          <w:szCs w:val="20"/>
        </w:rPr>
      </w:pPr>
      <w:r w:rsidRPr="001337DB">
        <w:rPr>
          <w:rFonts w:ascii="Arial" w:hAnsi="Arial" w:cs="Arial"/>
          <w:sz w:val="20"/>
          <w:szCs w:val="20"/>
        </w:rPr>
        <w:t xml:space="preserve">The Board of Directors of </w:t>
      </w:r>
      <w:r w:rsidR="00A82ABB">
        <w:rPr>
          <w:rFonts w:ascii="Arial" w:hAnsi="Arial" w:cs="Arial"/>
          <w:sz w:val="20"/>
          <w:szCs w:val="20"/>
        </w:rPr>
        <w:t>……………………………………………..</w:t>
      </w:r>
      <w:r w:rsidR="00FF5A21" w:rsidRPr="001337DB">
        <w:rPr>
          <w:rFonts w:ascii="Arial" w:hAnsi="Arial" w:cs="Arial"/>
          <w:sz w:val="20"/>
          <w:szCs w:val="20"/>
        </w:rPr>
        <w:t xml:space="preserve"> (</w:t>
      </w:r>
      <w:r w:rsidRPr="001337DB">
        <w:rPr>
          <w:rFonts w:ascii="Arial" w:hAnsi="Arial" w:cs="Arial"/>
          <w:sz w:val="20"/>
          <w:szCs w:val="20"/>
        </w:rPr>
        <w:t xml:space="preserve">the “Company”) has adopted the following policy with regards to </w:t>
      </w:r>
      <w:r w:rsidR="005860A1" w:rsidRPr="001337DB">
        <w:rPr>
          <w:rFonts w:ascii="Arial" w:hAnsi="Arial" w:cs="Arial"/>
          <w:sz w:val="20"/>
          <w:szCs w:val="20"/>
        </w:rPr>
        <w:t>preservation of documents</w:t>
      </w:r>
      <w:r w:rsidRPr="001337DB">
        <w:rPr>
          <w:rFonts w:ascii="Arial" w:hAnsi="Arial" w:cs="Arial"/>
          <w:sz w:val="20"/>
          <w:szCs w:val="20"/>
        </w:rPr>
        <w:t xml:space="preserve"> </w:t>
      </w:r>
      <w:r w:rsidR="00FF5A21" w:rsidRPr="001337DB">
        <w:rPr>
          <w:rFonts w:ascii="Arial" w:hAnsi="Arial" w:cs="Arial"/>
          <w:sz w:val="20"/>
          <w:szCs w:val="20"/>
        </w:rPr>
        <w:t xml:space="preserve">in terms of Regulation </w:t>
      </w:r>
      <w:r w:rsidR="005860A1" w:rsidRPr="001337DB">
        <w:rPr>
          <w:rFonts w:ascii="Arial" w:hAnsi="Arial" w:cs="Arial"/>
          <w:sz w:val="20"/>
          <w:szCs w:val="20"/>
        </w:rPr>
        <w:t>9</w:t>
      </w:r>
      <w:r w:rsidR="00FF5A21" w:rsidRPr="001337DB">
        <w:rPr>
          <w:rFonts w:ascii="Arial" w:hAnsi="Arial" w:cs="Arial"/>
          <w:sz w:val="20"/>
          <w:szCs w:val="20"/>
        </w:rPr>
        <w:t xml:space="preserve"> of Chapter IV of Securities and Exchange Board of India (Listing Obligation and Disclosure Requirements) Regulations, 2015 (‘LODR”).</w:t>
      </w:r>
      <w:r w:rsidRPr="001337DB">
        <w:rPr>
          <w:rFonts w:ascii="Arial" w:hAnsi="Arial" w:cs="Arial"/>
          <w:sz w:val="20"/>
          <w:szCs w:val="20"/>
        </w:rPr>
        <w:t xml:space="preserve"> </w:t>
      </w:r>
    </w:p>
    <w:p w:rsidR="00FF5A21" w:rsidRPr="00FF5A21" w:rsidRDefault="00FF5A21" w:rsidP="00E9479A">
      <w:pPr>
        <w:pStyle w:val="ListParagraph"/>
        <w:spacing w:after="0"/>
        <w:ind w:left="990"/>
        <w:jc w:val="both"/>
        <w:rPr>
          <w:rFonts w:ascii="Arial" w:hAnsi="Arial" w:cs="Arial"/>
          <w:sz w:val="20"/>
          <w:szCs w:val="20"/>
        </w:rPr>
      </w:pPr>
    </w:p>
    <w:p w:rsidR="00787714" w:rsidRPr="00FF5A21" w:rsidRDefault="00FF5A21" w:rsidP="00E9479A">
      <w:pPr>
        <w:pStyle w:val="ListParagraph"/>
        <w:spacing w:after="0"/>
        <w:ind w:left="990"/>
        <w:jc w:val="both"/>
        <w:rPr>
          <w:rFonts w:ascii="Arial" w:hAnsi="Arial" w:cs="Arial"/>
          <w:sz w:val="20"/>
          <w:szCs w:val="20"/>
        </w:rPr>
      </w:pPr>
      <w:r w:rsidRPr="00FF5A21">
        <w:rPr>
          <w:rFonts w:ascii="Arial" w:hAnsi="Arial" w:cs="Arial"/>
          <w:sz w:val="20"/>
          <w:szCs w:val="20"/>
        </w:rPr>
        <w:t>The board may review and amend this policy from time to time.</w:t>
      </w:r>
      <w:r>
        <w:rPr>
          <w:rFonts w:ascii="Arial" w:hAnsi="Arial" w:cs="Arial"/>
          <w:sz w:val="20"/>
          <w:szCs w:val="20"/>
        </w:rPr>
        <w:t xml:space="preserve"> </w:t>
      </w:r>
    </w:p>
    <w:p w:rsidR="00A237CD" w:rsidRDefault="00A237CD" w:rsidP="00E9479A">
      <w:pPr>
        <w:spacing w:after="0"/>
        <w:jc w:val="both"/>
        <w:rPr>
          <w:rFonts w:ascii="Arial" w:hAnsi="Arial" w:cs="Arial"/>
        </w:rPr>
      </w:pPr>
    </w:p>
    <w:p w:rsidR="00A404DD" w:rsidRPr="00A404DD" w:rsidRDefault="00A404DD" w:rsidP="00E9479A">
      <w:pPr>
        <w:spacing w:after="0"/>
        <w:ind w:left="270" w:firstLine="720"/>
        <w:jc w:val="both"/>
        <w:rPr>
          <w:rFonts w:ascii="Arial" w:eastAsia="Times New Roman" w:hAnsi="Arial" w:cs="Arial"/>
          <w:b/>
          <w:sz w:val="20"/>
          <w:szCs w:val="20"/>
          <w:u w:val="single"/>
        </w:rPr>
      </w:pPr>
      <w:r w:rsidRPr="00A404DD">
        <w:rPr>
          <w:rFonts w:ascii="Arial" w:eastAsia="Times New Roman" w:hAnsi="Arial" w:cs="Arial"/>
          <w:b/>
          <w:sz w:val="20"/>
          <w:szCs w:val="20"/>
          <w:u w:val="single"/>
        </w:rPr>
        <w:t>DEFINITIONS</w:t>
      </w:r>
    </w:p>
    <w:p w:rsidR="00A404DD" w:rsidRPr="00A404DD" w:rsidRDefault="00A404DD" w:rsidP="00FC0450">
      <w:pPr>
        <w:spacing w:after="0"/>
        <w:ind w:left="1080"/>
        <w:jc w:val="both"/>
        <w:rPr>
          <w:rFonts w:ascii="Arial" w:eastAsia="Times New Roman" w:hAnsi="Arial" w:cs="Arial"/>
          <w:sz w:val="20"/>
          <w:szCs w:val="20"/>
        </w:rPr>
      </w:pPr>
      <w:r w:rsidRPr="00A404DD">
        <w:rPr>
          <w:rFonts w:ascii="Arial" w:eastAsia="Times New Roman" w:hAnsi="Arial" w:cs="Arial"/>
          <w:b/>
          <w:sz w:val="20"/>
          <w:szCs w:val="20"/>
        </w:rPr>
        <w:t>“Regulations”</w:t>
      </w:r>
      <w:r w:rsidRPr="00A404DD">
        <w:rPr>
          <w:rFonts w:ascii="Arial" w:eastAsia="Times New Roman" w:hAnsi="Arial" w:cs="Arial"/>
          <w:sz w:val="20"/>
          <w:szCs w:val="20"/>
        </w:rPr>
        <w:t xml:space="preserve"> means the Securities and Exchange Board of India (Listing Obligations and </w:t>
      </w:r>
      <w:r w:rsidR="00FC0450">
        <w:rPr>
          <w:rFonts w:ascii="Arial" w:eastAsia="Times New Roman" w:hAnsi="Arial" w:cs="Arial"/>
          <w:sz w:val="20"/>
          <w:szCs w:val="20"/>
        </w:rPr>
        <w:t xml:space="preserve">  </w:t>
      </w:r>
      <w:r w:rsidRPr="00A404DD">
        <w:rPr>
          <w:rFonts w:ascii="Arial" w:eastAsia="Times New Roman" w:hAnsi="Arial" w:cs="Arial"/>
          <w:sz w:val="20"/>
          <w:szCs w:val="20"/>
        </w:rPr>
        <w:t>Disclosure Requirements) Regulations, 2015.</w:t>
      </w:r>
    </w:p>
    <w:p w:rsidR="00A404DD" w:rsidRPr="00A404DD" w:rsidRDefault="00A404DD" w:rsidP="00E9479A">
      <w:pPr>
        <w:spacing w:after="0"/>
        <w:ind w:left="990"/>
        <w:jc w:val="both"/>
        <w:rPr>
          <w:rFonts w:ascii="Arial" w:eastAsia="Times New Roman" w:hAnsi="Arial" w:cs="Arial"/>
          <w:sz w:val="20"/>
          <w:szCs w:val="20"/>
        </w:rPr>
      </w:pPr>
    </w:p>
    <w:p w:rsidR="00FC0450" w:rsidRPr="00FC0450" w:rsidRDefault="00FC0450" w:rsidP="00FC0450">
      <w:pPr>
        <w:tabs>
          <w:tab w:val="left" w:pos="990"/>
        </w:tabs>
        <w:ind w:left="1080"/>
        <w:jc w:val="both"/>
        <w:rPr>
          <w:rFonts w:ascii="Arial" w:eastAsia="Times New Roman" w:hAnsi="Arial" w:cs="Arial"/>
          <w:sz w:val="20"/>
          <w:szCs w:val="20"/>
        </w:rPr>
      </w:pPr>
      <w:r w:rsidRPr="00FC0450">
        <w:rPr>
          <w:rFonts w:ascii="Arial" w:eastAsia="Times New Roman" w:hAnsi="Arial" w:cs="Arial"/>
          <w:b/>
          <w:sz w:val="20"/>
          <w:szCs w:val="20"/>
        </w:rPr>
        <w:t>“Act”</w:t>
      </w:r>
      <w:r w:rsidRPr="00FC0450">
        <w:rPr>
          <w:rFonts w:ascii="Arial" w:eastAsia="Times New Roman" w:hAnsi="Arial" w:cs="Arial"/>
          <w:sz w:val="20"/>
          <w:szCs w:val="20"/>
        </w:rPr>
        <w:t xml:space="preserve"> means the SEBI Act, 1992 read with the Securities Contract (Regulation) Act, 1956 and Companies Act, 2013.</w:t>
      </w:r>
    </w:p>
    <w:p w:rsidR="00FC0450" w:rsidRPr="00FC0450" w:rsidRDefault="00FC0450" w:rsidP="00FC0450">
      <w:pPr>
        <w:tabs>
          <w:tab w:val="left" w:pos="990"/>
        </w:tabs>
        <w:ind w:left="1080"/>
        <w:jc w:val="both"/>
        <w:rPr>
          <w:rFonts w:ascii="Arial" w:eastAsia="Times New Roman" w:hAnsi="Arial" w:cs="Arial"/>
          <w:sz w:val="20"/>
          <w:szCs w:val="20"/>
        </w:rPr>
      </w:pPr>
      <w:r w:rsidRPr="00FC0450">
        <w:rPr>
          <w:rFonts w:ascii="Arial" w:eastAsia="Times New Roman" w:hAnsi="Arial" w:cs="Arial"/>
          <w:b/>
          <w:sz w:val="20"/>
          <w:szCs w:val="20"/>
        </w:rPr>
        <w:t>“Board”</w:t>
      </w:r>
      <w:r w:rsidRPr="00FC0450">
        <w:rPr>
          <w:rFonts w:ascii="Arial" w:eastAsia="Times New Roman" w:hAnsi="Arial" w:cs="Arial"/>
          <w:sz w:val="20"/>
          <w:szCs w:val="20"/>
        </w:rPr>
        <w:t xml:space="preserve"> means the Board of Directors of the Company or its Committee.</w:t>
      </w:r>
    </w:p>
    <w:p w:rsidR="00FC0450" w:rsidRPr="00FC0450" w:rsidRDefault="00FC0450" w:rsidP="00FC0450">
      <w:pPr>
        <w:tabs>
          <w:tab w:val="left" w:pos="990"/>
        </w:tabs>
        <w:ind w:left="1080"/>
        <w:jc w:val="both"/>
        <w:rPr>
          <w:rFonts w:ascii="Arial" w:eastAsia="Times New Roman" w:hAnsi="Arial" w:cs="Arial"/>
          <w:sz w:val="20"/>
          <w:szCs w:val="20"/>
        </w:rPr>
      </w:pPr>
      <w:r w:rsidRPr="00FC0450">
        <w:rPr>
          <w:rFonts w:ascii="Arial" w:hAnsi="Arial" w:cs="Arial"/>
          <w:b/>
          <w:sz w:val="20"/>
          <w:szCs w:val="20"/>
        </w:rPr>
        <w:t xml:space="preserve"> </w:t>
      </w:r>
      <w:r w:rsidRPr="00FC0450">
        <w:rPr>
          <w:rFonts w:ascii="Arial" w:eastAsia="Times New Roman" w:hAnsi="Arial" w:cs="Arial"/>
          <w:b/>
          <w:sz w:val="20"/>
          <w:szCs w:val="20"/>
        </w:rPr>
        <w:t>“Company”</w:t>
      </w:r>
      <w:r w:rsidRPr="00FC0450">
        <w:rPr>
          <w:rFonts w:ascii="Arial" w:eastAsia="Times New Roman" w:hAnsi="Arial" w:cs="Arial"/>
          <w:sz w:val="20"/>
          <w:szCs w:val="20"/>
        </w:rPr>
        <w:t xml:space="preserve"> means </w:t>
      </w:r>
      <w:r w:rsidR="00A82ABB">
        <w:rPr>
          <w:rFonts w:ascii="Arial" w:hAnsi="Arial" w:cs="Arial"/>
          <w:sz w:val="20"/>
          <w:szCs w:val="20"/>
        </w:rPr>
        <w:t>………………………………………</w:t>
      </w:r>
      <w:r>
        <w:rPr>
          <w:rFonts w:ascii="Arial" w:hAnsi="Arial" w:cs="Arial"/>
          <w:sz w:val="20"/>
          <w:szCs w:val="20"/>
        </w:rPr>
        <w:t>.</w:t>
      </w:r>
    </w:p>
    <w:p w:rsidR="00FC0450" w:rsidRPr="00FC0450" w:rsidRDefault="00FC0450" w:rsidP="00FC0450">
      <w:pPr>
        <w:tabs>
          <w:tab w:val="left" w:pos="1080"/>
          <w:tab w:val="left" w:pos="1170"/>
        </w:tabs>
        <w:ind w:left="1080"/>
        <w:jc w:val="both"/>
        <w:rPr>
          <w:rFonts w:ascii="Arial" w:eastAsia="Times New Roman" w:hAnsi="Arial" w:cs="Arial"/>
          <w:sz w:val="20"/>
          <w:szCs w:val="20"/>
        </w:rPr>
      </w:pPr>
      <w:r w:rsidRPr="00FC0450">
        <w:rPr>
          <w:rFonts w:ascii="Arial" w:hAnsi="Arial" w:cs="Arial"/>
          <w:b/>
          <w:sz w:val="20"/>
          <w:szCs w:val="20"/>
        </w:rPr>
        <w:t xml:space="preserve"> </w:t>
      </w:r>
      <w:r w:rsidRPr="00FC0450">
        <w:rPr>
          <w:rFonts w:ascii="Arial" w:eastAsia="Times New Roman" w:hAnsi="Arial" w:cs="Arial"/>
          <w:b/>
          <w:sz w:val="20"/>
          <w:szCs w:val="20"/>
        </w:rPr>
        <w:t xml:space="preserve">“Document(s)” </w:t>
      </w:r>
      <w:r w:rsidRPr="00FC0450">
        <w:rPr>
          <w:rFonts w:ascii="Arial" w:eastAsia="Times New Roman" w:hAnsi="Arial" w:cs="Arial"/>
          <w:sz w:val="20"/>
          <w:szCs w:val="20"/>
        </w:rPr>
        <w:t>means documents as defined in Section 2(36) of the Companies Act, 2013.</w:t>
      </w:r>
    </w:p>
    <w:p w:rsidR="00FC0450" w:rsidRPr="00FC0450" w:rsidRDefault="00FC0450" w:rsidP="00FC0450">
      <w:pPr>
        <w:tabs>
          <w:tab w:val="left" w:pos="1170"/>
        </w:tabs>
        <w:ind w:left="1170" w:hanging="90"/>
        <w:jc w:val="both"/>
        <w:rPr>
          <w:rFonts w:ascii="Arial" w:eastAsia="Times New Roman" w:hAnsi="Arial" w:cs="Arial"/>
          <w:sz w:val="20"/>
          <w:szCs w:val="20"/>
        </w:rPr>
      </w:pPr>
      <w:r w:rsidRPr="00FC0450">
        <w:rPr>
          <w:rFonts w:ascii="Arial" w:hAnsi="Arial" w:cs="Arial"/>
          <w:sz w:val="20"/>
          <w:szCs w:val="20"/>
        </w:rPr>
        <w:t xml:space="preserve"> </w:t>
      </w:r>
      <w:r w:rsidRPr="00FC0450">
        <w:rPr>
          <w:rFonts w:ascii="Arial" w:eastAsia="Times New Roman" w:hAnsi="Arial" w:cs="Arial"/>
          <w:sz w:val="20"/>
          <w:szCs w:val="20"/>
        </w:rPr>
        <w:t>“</w:t>
      </w:r>
      <w:r w:rsidRPr="00FC0450">
        <w:rPr>
          <w:rFonts w:ascii="Arial" w:eastAsia="Times New Roman" w:hAnsi="Arial" w:cs="Arial"/>
          <w:b/>
          <w:sz w:val="20"/>
          <w:szCs w:val="20"/>
        </w:rPr>
        <w:t>Electronic form”</w:t>
      </w:r>
      <w:r w:rsidRPr="00FC0450">
        <w:rPr>
          <w:rFonts w:ascii="Arial" w:eastAsia="Times New Roman" w:hAnsi="Arial" w:cs="Arial"/>
          <w:sz w:val="20"/>
          <w:szCs w:val="20"/>
        </w:rPr>
        <w:t xml:space="preserve"> as defined in Section 2(1)(r) of the Information Technology Act, 2000, means any information generated, sent, received or stored in media, magnetic, optical, computer memory, micro film, computer generated micro fiche or similar device.</w:t>
      </w:r>
    </w:p>
    <w:p w:rsidR="00FC0450" w:rsidRPr="00FC0450" w:rsidRDefault="00FC0450" w:rsidP="00FC0450">
      <w:pPr>
        <w:tabs>
          <w:tab w:val="left" w:pos="1170"/>
        </w:tabs>
        <w:ind w:left="1170" w:hanging="90"/>
        <w:jc w:val="both"/>
        <w:rPr>
          <w:rFonts w:ascii="Arial" w:eastAsia="Times New Roman" w:hAnsi="Arial" w:cs="Arial"/>
          <w:sz w:val="20"/>
          <w:szCs w:val="20"/>
        </w:rPr>
      </w:pPr>
      <w:r w:rsidRPr="00FC0450">
        <w:rPr>
          <w:rFonts w:ascii="Arial" w:hAnsi="Arial" w:cs="Arial"/>
          <w:b/>
          <w:sz w:val="20"/>
          <w:szCs w:val="20"/>
        </w:rPr>
        <w:t xml:space="preserve"> </w:t>
      </w:r>
      <w:r w:rsidRPr="00FC0450">
        <w:rPr>
          <w:rFonts w:ascii="Arial" w:eastAsia="Times New Roman" w:hAnsi="Arial" w:cs="Arial"/>
          <w:b/>
          <w:sz w:val="20"/>
          <w:szCs w:val="20"/>
        </w:rPr>
        <w:t xml:space="preserve">“Electronic record” </w:t>
      </w:r>
      <w:r w:rsidRPr="00FC0450">
        <w:rPr>
          <w:rFonts w:ascii="Arial" w:eastAsia="Times New Roman" w:hAnsi="Arial" w:cs="Arial"/>
          <w:sz w:val="20"/>
          <w:szCs w:val="20"/>
        </w:rPr>
        <w:t>as defined in Section 2(1</w:t>
      </w:r>
      <w:proofErr w:type="gramStart"/>
      <w:r w:rsidRPr="00FC0450">
        <w:rPr>
          <w:rFonts w:ascii="Arial" w:eastAsia="Times New Roman" w:hAnsi="Arial" w:cs="Arial"/>
          <w:sz w:val="20"/>
          <w:szCs w:val="20"/>
        </w:rPr>
        <w:t>)(</w:t>
      </w:r>
      <w:proofErr w:type="gramEnd"/>
      <w:r w:rsidRPr="00FC0450">
        <w:rPr>
          <w:rFonts w:ascii="Arial" w:eastAsia="Times New Roman" w:hAnsi="Arial" w:cs="Arial"/>
          <w:sz w:val="20"/>
          <w:szCs w:val="20"/>
        </w:rPr>
        <w:t xml:space="preserve">t) of the Information Technology Act, 2000, means data, record or data generated, image or sound stored, received or sent in an electronic form or micro film or computer generated micro fiche. </w:t>
      </w:r>
    </w:p>
    <w:p w:rsidR="00FC0450" w:rsidRPr="00FC0450" w:rsidRDefault="00FC0450" w:rsidP="00FC0450">
      <w:pPr>
        <w:tabs>
          <w:tab w:val="left" w:pos="1170"/>
        </w:tabs>
        <w:ind w:left="1170" w:hanging="90"/>
        <w:jc w:val="both"/>
        <w:rPr>
          <w:rFonts w:ascii="Arial" w:eastAsia="Times New Roman" w:hAnsi="Arial" w:cs="Arial"/>
          <w:sz w:val="20"/>
          <w:szCs w:val="20"/>
        </w:rPr>
      </w:pPr>
      <w:r w:rsidRPr="00FC0450">
        <w:rPr>
          <w:rFonts w:ascii="Arial" w:hAnsi="Arial" w:cs="Arial"/>
          <w:b/>
          <w:sz w:val="20"/>
          <w:szCs w:val="20"/>
        </w:rPr>
        <w:t xml:space="preserve"> </w:t>
      </w:r>
      <w:r w:rsidRPr="00FC0450">
        <w:rPr>
          <w:rFonts w:ascii="Arial" w:eastAsia="Times New Roman" w:hAnsi="Arial" w:cs="Arial"/>
          <w:b/>
          <w:sz w:val="20"/>
          <w:szCs w:val="20"/>
        </w:rPr>
        <w:t>“Maintenance”</w:t>
      </w:r>
      <w:r w:rsidRPr="00FC0450">
        <w:rPr>
          <w:rFonts w:ascii="Arial" w:eastAsia="Times New Roman" w:hAnsi="Arial" w:cs="Arial"/>
          <w:sz w:val="20"/>
          <w:szCs w:val="20"/>
        </w:rPr>
        <w:t xml:space="preserve"> means maintaining documents and records either physically or electronically.</w:t>
      </w:r>
    </w:p>
    <w:p w:rsidR="00FC0450" w:rsidRPr="00FC0450" w:rsidRDefault="00FC0450" w:rsidP="00FC0450">
      <w:pPr>
        <w:tabs>
          <w:tab w:val="left" w:pos="1170"/>
        </w:tabs>
        <w:ind w:left="1170"/>
        <w:jc w:val="both"/>
        <w:rPr>
          <w:rFonts w:ascii="Arial" w:eastAsia="Times New Roman" w:hAnsi="Arial" w:cs="Arial"/>
          <w:b/>
          <w:sz w:val="20"/>
          <w:szCs w:val="20"/>
        </w:rPr>
      </w:pPr>
      <w:r w:rsidRPr="00FC0450">
        <w:rPr>
          <w:rFonts w:ascii="Arial" w:eastAsia="Times New Roman" w:hAnsi="Arial" w:cs="Arial"/>
          <w:b/>
          <w:sz w:val="20"/>
          <w:szCs w:val="20"/>
        </w:rPr>
        <w:t xml:space="preserve">“Preservation” </w:t>
      </w:r>
      <w:r w:rsidRPr="00FC0450">
        <w:rPr>
          <w:rFonts w:ascii="Arial" w:eastAsia="Times New Roman" w:hAnsi="Arial" w:cs="Arial"/>
          <w:sz w:val="20"/>
          <w:szCs w:val="20"/>
        </w:rPr>
        <w:t>means to keep in good order and to prevent from being altered, damaged or destroyed</w:t>
      </w:r>
      <w:r w:rsidRPr="00FC0450">
        <w:rPr>
          <w:rFonts w:ascii="Arial" w:eastAsia="Times New Roman" w:hAnsi="Arial" w:cs="Arial"/>
          <w:b/>
          <w:sz w:val="20"/>
          <w:szCs w:val="20"/>
        </w:rPr>
        <w:t>.</w:t>
      </w:r>
    </w:p>
    <w:p w:rsidR="00FC0450" w:rsidRPr="001337DB" w:rsidRDefault="00FC0450" w:rsidP="001337DB">
      <w:pPr>
        <w:ind w:left="1080"/>
        <w:jc w:val="both"/>
        <w:rPr>
          <w:rFonts w:ascii="Arial" w:eastAsia="Times New Roman" w:hAnsi="Arial" w:cs="Arial"/>
          <w:color w:val="FF0000"/>
          <w:sz w:val="20"/>
          <w:szCs w:val="20"/>
        </w:rPr>
      </w:pPr>
      <w:r w:rsidRPr="00FC0450">
        <w:rPr>
          <w:rFonts w:ascii="Arial" w:eastAsia="Times New Roman" w:hAnsi="Arial" w:cs="Arial"/>
          <w:sz w:val="20"/>
          <w:szCs w:val="20"/>
        </w:rPr>
        <w:t xml:space="preserve">All other terms used in this policy have the same meaning as defined in applicable Act, </w:t>
      </w:r>
      <w:r>
        <w:rPr>
          <w:rFonts w:ascii="Arial" w:eastAsia="Times New Roman" w:hAnsi="Arial" w:cs="Arial"/>
          <w:sz w:val="20"/>
          <w:szCs w:val="20"/>
        </w:rPr>
        <w:t>Rules</w:t>
      </w:r>
      <w:r w:rsidRPr="00FC0450">
        <w:rPr>
          <w:rFonts w:ascii="Arial" w:eastAsia="Times New Roman" w:hAnsi="Arial" w:cs="Arial"/>
          <w:sz w:val="20"/>
          <w:szCs w:val="20"/>
        </w:rPr>
        <w:t xml:space="preserve"> and Regulations.</w:t>
      </w:r>
    </w:p>
    <w:p w:rsidR="00FC0450" w:rsidRPr="00FC0450" w:rsidRDefault="00A82ABB" w:rsidP="00FC0450">
      <w:pPr>
        <w:spacing w:after="0"/>
        <w:ind w:left="1080"/>
        <w:jc w:val="both"/>
        <w:rPr>
          <w:rFonts w:ascii="Arial" w:hAnsi="Arial" w:cs="Arial"/>
          <w:sz w:val="20"/>
          <w:szCs w:val="20"/>
        </w:rPr>
      </w:pPr>
      <w:r>
        <w:rPr>
          <w:rFonts w:ascii="Arial" w:hAnsi="Arial" w:cs="Arial"/>
          <w:b/>
          <w:sz w:val="20"/>
          <w:szCs w:val="20"/>
          <w:u w:val="single"/>
        </w:rPr>
        <w:t xml:space="preserve"> </w:t>
      </w:r>
      <w:r w:rsidR="00FC0450" w:rsidRPr="00FC0450">
        <w:rPr>
          <w:rFonts w:ascii="Arial" w:hAnsi="Arial" w:cs="Arial"/>
          <w:b/>
          <w:sz w:val="20"/>
          <w:szCs w:val="20"/>
          <w:u w:val="single"/>
        </w:rPr>
        <w:t>PURPOSE</w:t>
      </w:r>
    </w:p>
    <w:p w:rsidR="00FC0450" w:rsidRPr="00FC0450" w:rsidRDefault="00FC0450" w:rsidP="00FC0450">
      <w:pPr>
        <w:spacing w:after="0"/>
        <w:ind w:left="1170"/>
        <w:jc w:val="both"/>
        <w:rPr>
          <w:rFonts w:ascii="Arial" w:hAnsi="Arial" w:cs="Arial"/>
          <w:sz w:val="20"/>
          <w:szCs w:val="20"/>
        </w:rPr>
      </w:pPr>
      <w:r w:rsidRPr="00FC0450">
        <w:rPr>
          <w:rFonts w:ascii="Arial" w:hAnsi="Arial" w:cs="Arial"/>
          <w:sz w:val="20"/>
          <w:szCs w:val="20"/>
        </w:rPr>
        <w:t xml:space="preserve">Regulation 9 of SEBI (Listing Obligations and Disclosure Requirements) Regulations, 2015 requires that every listed company shall have a policy for preservation of documents approved by the Board of Directors. </w:t>
      </w:r>
    </w:p>
    <w:p w:rsidR="00FC0450" w:rsidRPr="00FC0450" w:rsidRDefault="00FC0450" w:rsidP="00FC0450">
      <w:pPr>
        <w:spacing w:after="0"/>
        <w:ind w:left="1170"/>
        <w:jc w:val="both"/>
        <w:rPr>
          <w:rFonts w:ascii="Arial" w:hAnsi="Arial" w:cs="Arial"/>
          <w:sz w:val="20"/>
          <w:szCs w:val="20"/>
        </w:rPr>
      </w:pPr>
    </w:p>
    <w:p w:rsidR="00FC0450" w:rsidRPr="00FC0450" w:rsidRDefault="00FC0450" w:rsidP="00FC0450">
      <w:pPr>
        <w:spacing w:after="0"/>
        <w:ind w:left="1170"/>
        <w:jc w:val="both"/>
        <w:rPr>
          <w:rFonts w:ascii="Arial" w:hAnsi="Arial" w:cs="Arial"/>
          <w:sz w:val="20"/>
          <w:szCs w:val="20"/>
        </w:rPr>
      </w:pPr>
      <w:r w:rsidRPr="00FC0450">
        <w:rPr>
          <w:rFonts w:ascii="Arial" w:hAnsi="Arial" w:cs="Arial"/>
          <w:sz w:val="20"/>
          <w:szCs w:val="20"/>
        </w:rPr>
        <w:t>As per the said regulations the documents should be classified in at least two categories, namely</w:t>
      </w:r>
    </w:p>
    <w:p w:rsidR="00FC0450" w:rsidRPr="00FC0450" w:rsidRDefault="00FC0450" w:rsidP="00FC0450">
      <w:pPr>
        <w:pStyle w:val="ListParagraph"/>
        <w:numPr>
          <w:ilvl w:val="0"/>
          <w:numId w:val="10"/>
        </w:numPr>
        <w:spacing w:after="0"/>
        <w:jc w:val="both"/>
        <w:rPr>
          <w:rFonts w:ascii="Arial" w:hAnsi="Arial" w:cs="Arial"/>
          <w:sz w:val="20"/>
          <w:szCs w:val="20"/>
        </w:rPr>
      </w:pPr>
      <w:r>
        <w:rPr>
          <w:rFonts w:ascii="Arial" w:hAnsi="Arial" w:cs="Arial"/>
          <w:sz w:val="20"/>
          <w:szCs w:val="20"/>
        </w:rPr>
        <w:t>D</w:t>
      </w:r>
      <w:r w:rsidRPr="00FC0450">
        <w:rPr>
          <w:rFonts w:ascii="Arial" w:hAnsi="Arial" w:cs="Arial"/>
          <w:sz w:val="20"/>
          <w:szCs w:val="20"/>
        </w:rPr>
        <w:t>ocuments whose preservation shall be permanent in nature;</w:t>
      </w:r>
    </w:p>
    <w:p w:rsidR="00FC0450" w:rsidRPr="00FC0450" w:rsidRDefault="00FC0450" w:rsidP="00FC0450">
      <w:pPr>
        <w:pStyle w:val="ListParagraph"/>
        <w:numPr>
          <w:ilvl w:val="0"/>
          <w:numId w:val="10"/>
        </w:numPr>
        <w:spacing w:after="0"/>
        <w:jc w:val="both"/>
        <w:rPr>
          <w:rFonts w:ascii="Arial" w:hAnsi="Arial" w:cs="Arial"/>
          <w:sz w:val="20"/>
          <w:szCs w:val="20"/>
        </w:rPr>
      </w:pPr>
      <w:r w:rsidRPr="00FC0450">
        <w:rPr>
          <w:rFonts w:ascii="Arial" w:hAnsi="Arial" w:cs="Arial"/>
          <w:sz w:val="20"/>
          <w:szCs w:val="20"/>
        </w:rPr>
        <w:t>Documents with preservation period of not less than eight years after completion of the relevant transactions.</w:t>
      </w:r>
    </w:p>
    <w:p w:rsidR="00FC0450" w:rsidRPr="00FC0450" w:rsidRDefault="00FC0450" w:rsidP="00FC0450">
      <w:pPr>
        <w:spacing w:after="0"/>
        <w:ind w:left="1170"/>
        <w:jc w:val="both"/>
        <w:rPr>
          <w:rFonts w:ascii="Arial" w:hAnsi="Arial" w:cs="Arial"/>
          <w:sz w:val="20"/>
          <w:szCs w:val="20"/>
        </w:rPr>
      </w:pPr>
    </w:p>
    <w:p w:rsidR="00FC0450" w:rsidRDefault="00FC0450" w:rsidP="00FC0450">
      <w:pPr>
        <w:pStyle w:val="ListParagraph"/>
        <w:spacing w:line="240" w:lineRule="auto"/>
        <w:ind w:left="1080"/>
        <w:jc w:val="both"/>
        <w:rPr>
          <w:rFonts w:ascii="Arial" w:hAnsi="Arial" w:cs="Arial"/>
          <w:sz w:val="20"/>
          <w:szCs w:val="20"/>
        </w:rPr>
      </w:pPr>
      <w:r w:rsidRPr="00FC0450">
        <w:rPr>
          <w:rFonts w:ascii="Arial" w:hAnsi="Arial" w:cs="Arial"/>
          <w:sz w:val="20"/>
          <w:szCs w:val="20"/>
        </w:rPr>
        <w:t>Accordingly, the policy is framed in the manner prescribed in the Regulations.</w:t>
      </w:r>
    </w:p>
    <w:p w:rsidR="00FC0450" w:rsidRDefault="00FC0450" w:rsidP="00FC0450">
      <w:pPr>
        <w:pStyle w:val="ListParagraph"/>
        <w:spacing w:line="240" w:lineRule="auto"/>
        <w:ind w:left="1080"/>
        <w:jc w:val="both"/>
        <w:rPr>
          <w:rFonts w:ascii="Arial" w:hAnsi="Arial" w:cs="Arial"/>
          <w:sz w:val="20"/>
          <w:szCs w:val="20"/>
        </w:rPr>
      </w:pPr>
    </w:p>
    <w:p w:rsidR="00FC0450" w:rsidRDefault="00FC0450" w:rsidP="001337DB">
      <w:pPr>
        <w:pStyle w:val="ListParagraph"/>
        <w:spacing w:line="240" w:lineRule="auto"/>
        <w:ind w:left="1080"/>
        <w:jc w:val="both"/>
        <w:rPr>
          <w:rFonts w:ascii="Arial" w:hAnsi="Arial" w:cs="Arial"/>
          <w:sz w:val="20"/>
          <w:szCs w:val="20"/>
        </w:rPr>
      </w:pPr>
      <w:r w:rsidRPr="00FC0450">
        <w:rPr>
          <w:rFonts w:ascii="Arial" w:hAnsi="Arial" w:cs="Arial"/>
          <w:sz w:val="20"/>
          <w:szCs w:val="20"/>
        </w:rPr>
        <w:t>The list is appended as Annexure 1.</w:t>
      </w:r>
    </w:p>
    <w:p w:rsidR="00406AD4" w:rsidRPr="00FC0450" w:rsidRDefault="00406AD4" w:rsidP="001337DB">
      <w:pPr>
        <w:pStyle w:val="ListParagraph"/>
        <w:spacing w:line="240" w:lineRule="auto"/>
        <w:ind w:left="1080"/>
        <w:jc w:val="both"/>
        <w:rPr>
          <w:rFonts w:ascii="Arial" w:hAnsi="Arial" w:cs="Arial"/>
          <w:sz w:val="20"/>
          <w:szCs w:val="20"/>
        </w:rPr>
      </w:pPr>
    </w:p>
    <w:p w:rsidR="00FC0450" w:rsidRPr="00FC0450" w:rsidRDefault="00FC0450" w:rsidP="00FC0450">
      <w:pPr>
        <w:spacing w:after="0"/>
        <w:ind w:firstLine="720"/>
        <w:jc w:val="both"/>
        <w:rPr>
          <w:rFonts w:ascii="Arial" w:hAnsi="Arial" w:cs="Arial"/>
          <w:sz w:val="20"/>
          <w:szCs w:val="20"/>
        </w:rPr>
      </w:pPr>
      <w:r w:rsidRPr="00FC0450">
        <w:rPr>
          <w:rFonts w:ascii="Arial" w:hAnsi="Arial" w:cs="Arial"/>
          <w:b/>
          <w:sz w:val="20"/>
          <w:szCs w:val="20"/>
          <w:u w:val="single"/>
        </w:rPr>
        <w:t>MAINTENANCE AND PRESERVATION OF RECORDS</w:t>
      </w:r>
    </w:p>
    <w:p w:rsidR="00FC0450" w:rsidRDefault="00FC0450" w:rsidP="00FC0450">
      <w:pPr>
        <w:spacing w:after="0"/>
        <w:ind w:left="720"/>
        <w:jc w:val="both"/>
        <w:rPr>
          <w:rFonts w:ascii="Arial" w:hAnsi="Arial" w:cs="Arial"/>
          <w:sz w:val="20"/>
          <w:szCs w:val="20"/>
        </w:rPr>
      </w:pPr>
      <w:r w:rsidRPr="00FC0450">
        <w:rPr>
          <w:rFonts w:ascii="Arial" w:hAnsi="Arial" w:cs="Arial"/>
          <w:sz w:val="20"/>
          <w:szCs w:val="20"/>
        </w:rPr>
        <w:t>As per requirement of the Companies Act, 2013 some of the documents are to be preserved permanently. There are some other documents which may be preserved for at least eight years. The Company will follow the provisions of the applicable law in this respect.</w:t>
      </w:r>
    </w:p>
    <w:p w:rsidR="00FC0450" w:rsidRPr="00FC0450" w:rsidRDefault="00FC0450" w:rsidP="00FC0450">
      <w:pPr>
        <w:spacing w:after="0"/>
        <w:ind w:left="720"/>
        <w:jc w:val="both"/>
        <w:rPr>
          <w:rFonts w:ascii="Arial" w:hAnsi="Arial" w:cs="Arial"/>
          <w:sz w:val="20"/>
          <w:szCs w:val="20"/>
        </w:rPr>
      </w:pPr>
    </w:p>
    <w:p w:rsidR="00FC0450" w:rsidRPr="00FC0450" w:rsidRDefault="00FC0450" w:rsidP="00383B8B">
      <w:pPr>
        <w:ind w:left="720"/>
        <w:jc w:val="both"/>
        <w:rPr>
          <w:rFonts w:ascii="Arial" w:hAnsi="Arial" w:cs="Arial"/>
          <w:sz w:val="20"/>
          <w:szCs w:val="20"/>
        </w:rPr>
      </w:pPr>
      <w:r w:rsidRPr="00FC0450">
        <w:rPr>
          <w:rFonts w:ascii="Arial" w:hAnsi="Arial" w:cs="Arial"/>
          <w:sz w:val="20"/>
          <w:szCs w:val="20"/>
        </w:rPr>
        <w:t>Pursuant to Section 120 of the Companies Act, 2013 read with Rule 27 of the Companies (Management and Administration) Rules, 2014, Company may maintain its recor</w:t>
      </w:r>
      <w:r>
        <w:rPr>
          <w:rFonts w:ascii="Arial" w:hAnsi="Arial" w:cs="Arial"/>
          <w:sz w:val="20"/>
          <w:szCs w:val="20"/>
        </w:rPr>
        <w:t>ds as required to be maintained</w:t>
      </w:r>
      <w:r w:rsidRPr="00FC0450">
        <w:rPr>
          <w:rFonts w:ascii="Arial" w:hAnsi="Arial" w:cs="Arial"/>
          <w:sz w:val="20"/>
          <w:szCs w:val="20"/>
        </w:rPr>
        <w:t xml:space="preserve"> under the Act or Rules made there</w:t>
      </w:r>
      <w:r>
        <w:rPr>
          <w:rFonts w:ascii="Arial" w:hAnsi="Arial" w:cs="Arial"/>
          <w:sz w:val="20"/>
          <w:szCs w:val="20"/>
        </w:rPr>
        <w:t xml:space="preserve"> </w:t>
      </w:r>
      <w:r w:rsidRPr="00FC0450">
        <w:rPr>
          <w:rFonts w:ascii="Arial" w:hAnsi="Arial" w:cs="Arial"/>
          <w:sz w:val="20"/>
          <w:szCs w:val="20"/>
        </w:rPr>
        <w:t>under in electronic form.</w:t>
      </w:r>
    </w:p>
    <w:p w:rsidR="00FC0450" w:rsidRPr="00FC0450" w:rsidRDefault="00FC0450" w:rsidP="00FC0450">
      <w:pPr>
        <w:spacing w:after="0"/>
        <w:ind w:firstLine="720"/>
        <w:rPr>
          <w:rFonts w:ascii="Arial" w:hAnsi="Arial" w:cs="Arial"/>
          <w:sz w:val="20"/>
          <w:szCs w:val="20"/>
        </w:rPr>
      </w:pPr>
      <w:r w:rsidRPr="00FC0450">
        <w:rPr>
          <w:rFonts w:ascii="Arial" w:hAnsi="Arial" w:cs="Arial"/>
          <w:b/>
          <w:sz w:val="20"/>
          <w:szCs w:val="20"/>
          <w:u w:val="single"/>
        </w:rPr>
        <w:t>APPROVAL OF POLICY AND MODIFICATION THEREOF</w:t>
      </w:r>
    </w:p>
    <w:p w:rsidR="00FC0450" w:rsidRPr="00FC0450" w:rsidRDefault="00FC0450" w:rsidP="00FC0450">
      <w:pPr>
        <w:spacing w:after="0"/>
        <w:ind w:left="720"/>
        <w:jc w:val="both"/>
        <w:rPr>
          <w:rFonts w:ascii="Arial" w:hAnsi="Arial" w:cs="Arial"/>
          <w:sz w:val="20"/>
          <w:szCs w:val="20"/>
        </w:rPr>
      </w:pPr>
      <w:r w:rsidRPr="00FC0450">
        <w:rPr>
          <w:rFonts w:ascii="Arial" w:hAnsi="Arial" w:cs="Arial"/>
          <w:sz w:val="20"/>
          <w:szCs w:val="20"/>
        </w:rPr>
        <w:t xml:space="preserve">Pursuant to Rule 9 of SEBI (Listing Obligations and Disclosure Requirements) Regulations, 2015, the policy was approved by the Board of Directors of the Company in its meeting held on </w:t>
      </w:r>
      <w:r>
        <w:rPr>
          <w:rFonts w:ascii="Arial" w:hAnsi="Arial" w:cs="Arial"/>
          <w:sz w:val="20"/>
          <w:szCs w:val="20"/>
        </w:rPr>
        <w:t>November 14</w:t>
      </w:r>
      <w:r w:rsidRPr="00FC0450">
        <w:rPr>
          <w:rFonts w:ascii="Arial" w:hAnsi="Arial" w:cs="Arial"/>
          <w:sz w:val="20"/>
          <w:szCs w:val="20"/>
          <w:vertAlign w:val="superscript"/>
        </w:rPr>
        <w:t>th</w:t>
      </w:r>
      <w:r>
        <w:rPr>
          <w:rFonts w:ascii="Arial" w:hAnsi="Arial" w:cs="Arial"/>
          <w:sz w:val="20"/>
          <w:szCs w:val="20"/>
        </w:rPr>
        <w:t>, 2015</w:t>
      </w:r>
      <w:r w:rsidRPr="00FC0450">
        <w:rPr>
          <w:rFonts w:ascii="Arial" w:hAnsi="Arial" w:cs="Arial"/>
          <w:sz w:val="20"/>
          <w:szCs w:val="20"/>
        </w:rPr>
        <w:t xml:space="preserve">. </w:t>
      </w:r>
    </w:p>
    <w:p w:rsidR="00FC0450" w:rsidRPr="00FC0450" w:rsidRDefault="00FC0450" w:rsidP="00FC0450">
      <w:pPr>
        <w:spacing w:after="0"/>
        <w:rPr>
          <w:rFonts w:ascii="Arial" w:hAnsi="Arial" w:cs="Arial"/>
          <w:sz w:val="20"/>
          <w:szCs w:val="20"/>
        </w:rPr>
      </w:pPr>
    </w:p>
    <w:p w:rsidR="00FC0450" w:rsidRPr="00FC0450" w:rsidRDefault="00FC0450" w:rsidP="00FC0450">
      <w:pPr>
        <w:spacing w:after="0"/>
        <w:ind w:left="720"/>
        <w:jc w:val="both"/>
        <w:rPr>
          <w:rFonts w:ascii="Arial" w:hAnsi="Arial" w:cs="Arial"/>
          <w:sz w:val="20"/>
          <w:szCs w:val="20"/>
        </w:rPr>
      </w:pPr>
      <w:r w:rsidRPr="00FC0450">
        <w:rPr>
          <w:rFonts w:ascii="Arial" w:hAnsi="Arial" w:cs="Arial"/>
          <w:sz w:val="20"/>
          <w:szCs w:val="20"/>
        </w:rPr>
        <w:t>The Board has the right to modify the policy in line with the requirement of law.</w:t>
      </w:r>
    </w:p>
    <w:p w:rsidR="00FC0450" w:rsidRDefault="00FC0450" w:rsidP="001337DB">
      <w:pPr>
        <w:spacing w:after="0" w:line="240" w:lineRule="auto"/>
        <w:rPr>
          <w:rFonts w:ascii="Arial" w:hAnsi="Arial" w:cs="Arial"/>
        </w:rPr>
      </w:pPr>
    </w:p>
    <w:p w:rsidR="00383B8B" w:rsidRDefault="00383B8B" w:rsidP="001337DB">
      <w:pPr>
        <w:spacing w:after="0" w:line="240" w:lineRule="auto"/>
        <w:rPr>
          <w:rFonts w:ascii="Arial" w:hAnsi="Arial" w:cs="Arial"/>
        </w:rPr>
      </w:pPr>
    </w:p>
    <w:p w:rsidR="00383B8B" w:rsidRDefault="00383B8B" w:rsidP="001337DB">
      <w:pPr>
        <w:spacing w:after="0" w:line="240" w:lineRule="auto"/>
        <w:rPr>
          <w:rFonts w:ascii="Arial" w:hAnsi="Arial" w:cs="Arial"/>
        </w:rPr>
      </w:pPr>
    </w:p>
    <w:p w:rsidR="00383B8B" w:rsidRDefault="00383B8B" w:rsidP="001337DB">
      <w:pPr>
        <w:spacing w:after="0" w:line="240" w:lineRule="auto"/>
        <w:rPr>
          <w:rFonts w:ascii="Arial" w:hAnsi="Arial" w:cs="Arial"/>
        </w:rPr>
      </w:pPr>
    </w:p>
    <w:p w:rsidR="00383B8B" w:rsidRPr="00406AD4" w:rsidRDefault="00383B8B" w:rsidP="00383B8B">
      <w:pPr>
        <w:spacing w:after="0" w:line="240" w:lineRule="auto"/>
        <w:ind w:left="720"/>
        <w:rPr>
          <w:rFonts w:ascii="Arial" w:hAnsi="Arial" w:cs="Arial"/>
          <w:sz w:val="20"/>
          <w:szCs w:val="20"/>
        </w:rPr>
      </w:pPr>
      <w:r w:rsidRPr="00406AD4">
        <w:rPr>
          <w:rFonts w:ascii="Arial" w:hAnsi="Arial" w:cs="Arial"/>
          <w:sz w:val="20"/>
          <w:szCs w:val="20"/>
        </w:rPr>
        <w:t>14</w:t>
      </w:r>
      <w:r w:rsidRPr="00406AD4">
        <w:rPr>
          <w:rFonts w:ascii="Arial" w:hAnsi="Arial" w:cs="Arial"/>
          <w:sz w:val="20"/>
          <w:szCs w:val="20"/>
          <w:vertAlign w:val="superscript"/>
        </w:rPr>
        <w:t>th</w:t>
      </w:r>
      <w:r w:rsidRPr="00406AD4">
        <w:rPr>
          <w:rFonts w:ascii="Arial" w:hAnsi="Arial" w:cs="Arial"/>
          <w:sz w:val="20"/>
          <w:szCs w:val="20"/>
        </w:rPr>
        <w:t xml:space="preserve"> November, 2015</w:t>
      </w:r>
      <w:r w:rsidRPr="00406AD4">
        <w:rPr>
          <w:rFonts w:ascii="Arial" w:hAnsi="Arial" w:cs="Arial"/>
          <w:sz w:val="20"/>
          <w:szCs w:val="20"/>
        </w:rPr>
        <w:tab/>
      </w:r>
      <w:r w:rsidRPr="00406AD4">
        <w:rPr>
          <w:rFonts w:ascii="Arial" w:hAnsi="Arial" w:cs="Arial"/>
          <w:sz w:val="20"/>
          <w:szCs w:val="20"/>
        </w:rPr>
        <w:tab/>
      </w:r>
      <w:r w:rsidRPr="00406AD4">
        <w:rPr>
          <w:rFonts w:ascii="Arial" w:hAnsi="Arial" w:cs="Arial"/>
          <w:sz w:val="20"/>
          <w:szCs w:val="20"/>
        </w:rPr>
        <w:tab/>
      </w:r>
      <w:r w:rsidRPr="00406AD4">
        <w:rPr>
          <w:rFonts w:ascii="Arial" w:hAnsi="Arial" w:cs="Arial"/>
          <w:sz w:val="20"/>
          <w:szCs w:val="20"/>
        </w:rPr>
        <w:tab/>
      </w:r>
      <w:r w:rsidRPr="00406AD4">
        <w:rPr>
          <w:rFonts w:ascii="Arial" w:hAnsi="Arial" w:cs="Arial"/>
          <w:sz w:val="20"/>
          <w:szCs w:val="20"/>
        </w:rPr>
        <w:tab/>
      </w:r>
      <w:r w:rsidRPr="00406AD4">
        <w:rPr>
          <w:rFonts w:ascii="Arial" w:hAnsi="Arial" w:cs="Arial"/>
          <w:sz w:val="20"/>
          <w:szCs w:val="20"/>
        </w:rPr>
        <w:tab/>
      </w:r>
      <w:r w:rsidRPr="00406AD4">
        <w:rPr>
          <w:rFonts w:ascii="Arial" w:hAnsi="Arial" w:cs="Arial"/>
          <w:sz w:val="20"/>
          <w:szCs w:val="20"/>
        </w:rPr>
        <w:tab/>
        <w:t xml:space="preserve">                 Chairman</w:t>
      </w:r>
      <w:r w:rsidRPr="00406AD4">
        <w:rPr>
          <w:rFonts w:ascii="Arial" w:hAnsi="Arial" w:cs="Arial"/>
          <w:sz w:val="20"/>
          <w:szCs w:val="20"/>
        </w:rPr>
        <w:tab/>
        <w:t xml:space="preserve">         </w:t>
      </w:r>
    </w:p>
    <w:p w:rsidR="00383B8B" w:rsidRDefault="00383B8B" w:rsidP="000B3636">
      <w:pPr>
        <w:pStyle w:val="ListParagraph"/>
        <w:spacing w:after="0" w:line="240" w:lineRule="auto"/>
        <w:jc w:val="center"/>
        <w:rPr>
          <w:rFonts w:ascii="Arial" w:hAnsi="Arial" w:cs="Arial"/>
          <w:b/>
          <w:u w:val="single"/>
        </w:rPr>
      </w:pPr>
    </w:p>
    <w:p w:rsidR="00383B8B" w:rsidRDefault="00383B8B" w:rsidP="000B3636">
      <w:pPr>
        <w:pStyle w:val="ListParagraph"/>
        <w:spacing w:after="0" w:line="240" w:lineRule="auto"/>
        <w:jc w:val="center"/>
        <w:rPr>
          <w:rFonts w:ascii="Arial" w:hAnsi="Arial" w:cs="Arial"/>
          <w:b/>
          <w:u w:val="single"/>
        </w:rPr>
      </w:pPr>
    </w:p>
    <w:p w:rsidR="00383B8B" w:rsidRDefault="00383B8B" w:rsidP="000B3636">
      <w:pPr>
        <w:pStyle w:val="ListParagraph"/>
        <w:spacing w:after="0" w:line="240" w:lineRule="auto"/>
        <w:jc w:val="center"/>
        <w:rPr>
          <w:rFonts w:ascii="Arial" w:hAnsi="Arial" w:cs="Arial"/>
          <w:b/>
          <w:u w:val="single"/>
        </w:rPr>
      </w:pPr>
    </w:p>
    <w:p w:rsidR="00A82ABB" w:rsidRDefault="00A82ABB" w:rsidP="000B3636">
      <w:pPr>
        <w:pStyle w:val="ListParagraph"/>
        <w:spacing w:after="0" w:line="240" w:lineRule="auto"/>
        <w:jc w:val="center"/>
        <w:rPr>
          <w:rFonts w:ascii="Arial" w:hAnsi="Arial" w:cs="Arial"/>
          <w:b/>
          <w:u w:val="single"/>
        </w:rPr>
      </w:pPr>
    </w:p>
    <w:p w:rsidR="00A82ABB" w:rsidRDefault="00A82ABB" w:rsidP="000B3636">
      <w:pPr>
        <w:pStyle w:val="ListParagraph"/>
        <w:spacing w:after="0" w:line="240" w:lineRule="auto"/>
        <w:jc w:val="center"/>
        <w:rPr>
          <w:rFonts w:ascii="Arial" w:hAnsi="Arial" w:cs="Arial"/>
          <w:b/>
          <w:u w:val="single"/>
        </w:rPr>
      </w:pPr>
    </w:p>
    <w:p w:rsidR="00A82ABB" w:rsidRDefault="00A82ABB" w:rsidP="000B3636">
      <w:pPr>
        <w:pStyle w:val="ListParagraph"/>
        <w:spacing w:after="0" w:line="240" w:lineRule="auto"/>
        <w:jc w:val="center"/>
        <w:rPr>
          <w:rFonts w:ascii="Arial" w:hAnsi="Arial" w:cs="Arial"/>
          <w:b/>
          <w:u w:val="single"/>
        </w:rPr>
      </w:pPr>
    </w:p>
    <w:p w:rsidR="00A82ABB" w:rsidRDefault="00A82ABB" w:rsidP="000B3636">
      <w:pPr>
        <w:pStyle w:val="ListParagraph"/>
        <w:spacing w:after="0" w:line="240" w:lineRule="auto"/>
        <w:jc w:val="center"/>
        <w:rPr>
          <w:rFonts w:ascii="Arial" w:hAnsi="Arial" w:cs="Arial"/>
          <w:b/>
          <w:u w:val="single"/>
        </w:rPr>
      </w:pPr>
    </w:p>
    <w:p w:rsidR="00A82ABB" w:rsidRDefault="00A82ABB" w:rsidP="000B3636">
      <w:pPr>
        <w:pStyle w:val="ListParagraph"/>
        <w:spacing w:after="0" w:line="240" w:lineRule="auto"/>
        <w:jc w:val="center"/>
        <w:rPr>
          <w:rFonts w:ascii="Arial" w:hAnsi="Arial" w:cs="Arial"/>
          <w:b/>
          <w:u w:val="single"/>
        </w:rPr>
      </w:pPr>
    </w:p>
    <w:p w:rsidR="00A82ABB" w:rsidRDefault="00A82ABB" w:rsidP="000B3636">
      <w:pPr>
        <w:pStyle w:val="ListParagraph"/>
        <w:spacing w:after="0" w:line="240" w:lineRule="auto"/>
        <w:jc w:val="center"/>
        <w:rPr>
          <w:rFonts w:ascii="Arial" w:hAnsi="Arial" w:cs="Arial"/>
          <w:b/>
          <w:u w:val="single"/>
        </w:rPr>
      </w:pPr>
    </w:p>
    <w:p w:rsidR="00A82ABB" w:rsidRDefault="00A82ABB" w:rsidP="000B3636">
      <w:pPr>
        <w:pStyle w:val="ListParagraph"/>
        <w:spacing w:after="0" w:line="240" w:lineRule="auto"/>
        <w:jc w:val="center"/>
        <w:rPr>
          <w:rFonts w:ascii="Arial" w:hAnsi="Arial" w:cs="Arial"/>
          <w:b/>
          <w:u w:val="single"/>
        </w:rPr>
      </w:pPr>
    </w:p>
    <w:p w:rsidR="00A82ABB" w:rsidRDefault="00A82ABB" w:rsidP="000B3636">
      <w:pPr>
        <w:pStyle w:val="ListParagraph"/>
        <w:spacing w:after="0" w:line="240" w:lineRule="auto"/>
        <w:jc w:val="center"/>
        <w:rPr>
          <w:rFonts w:ascii="Arial" w:hAnsi="Arial" w:cs="Arial"/>
          <w:b/>
          <w:u w:val="single"/>
        </w:rPr>
      </w:pPr>
    </w:p>
    <w:p w:rsidR="00A82ABB" w:rsidRDefault="00A82ABB" w:rsidP="000B3636">
      <w:pPr>
        <w:pStyle w:val="ListParagraph"/>
        <w:spacing w:after="0" w:line="240" w:lineRule="auto"/>
        <w:jc w:val="center"/>
        <w:rPr>
          <w:rFonts w:ascii="Arial" w:hAnsi="Arial" w:cs="Arial"/>
          <w:b/>
          <w:u w:val="single"/>
        </w:rPr>
      </w:pPr>
    </w:p>
    <w:p w:rsidR="00383B8B" w:rsidRDefault="00383B8B" w:rsidP="000B3636">
      <w:pPr>
        <w:pStyle w:val="ListParagraph"/>
        <w:spacing w:after="0" w:line="240" w:lineRule="auto"/>
        <w:jc w:val="center"/>
        <w:rPr>
          <w:rFonts w:ascii="Arial" w:hAnsi="Arial" w:cs="Arial"/>
          <w:b/>
          <w:u w:val="single"/>
        </w:rPr>
      </w:pPr>
    </w:p>
    <w:p w:rsidR="00383B8B" w:rsidRDefault="00383B8B" w:rsidP="000B3636">
      <w:pPr>
        <w:pStyle w:val="ListParagraph"/>
        <w:spacing w:after="0" w:line="240" w:lineRule="auto"/>
        <w:jc w:val="center"/>
        <w:rPr>
          <w:rFonts w:ascii="Arial" w:hAnsi="Arial" w:cs="Arial"/>
          <w:b/>
          <w:u w:val="single"/>
        </w:rPr>
      </w:pPr>
    </w:p>
    <w:p w:rsidR="00383B8B" w:rsidRDefault="00383B8B" w:rsidP="000B3636">
      <w:pPr>
        <w:pStyle w:val="ListParagraph"/>
        <w:spacing w:after="0" w:line="240" w:lineRule="auto"/>
        <w:jc w:val="center"/>
        <w:rPr>
          <w:rFonts w:ascii="Arial" w:hAnsi="Arial" w:cs="Arial"/>
          <w:b/>
          <w:u w:val="single"/>
        </w:rPr>
      </w:pPr>
    </w:p>
    <w:p w:rsidR="00383B8B" w:rsidRPr="00406AD4" w:rsidRDefault="00383B8B" w:rsidP="00406AD4">
      <w:pPr>
        <w:spacing w:after="0" w:line="240" w:lineRule="auto"/>
        <w:rPr>
          <w:rFonts w:ascii="Arial" w:hAnsi="Arial" w:cs="Arial"/>
          <w:b/>
          <w:u w:val="single"/>
        </w:rPr>
      </w:pPr>
    </w:p>
    <w:p w:rsidR="00383B8B" w:rsidRDefault="000B3636" w:rsidP="00383B8B">
      <w:pPr>
        <w:pStyle w:val="ListParagraph"/>
        <w:spacing w:after="0" w:line="240" w:lineRule="auto"/>
        <w:jc w:val="right"/>
        <w:rPr>
          <w:rFonts w:ascii="Arial" w:hAnsi="Arial" w:cs="Arial"/>
          <w:b/>
          <w:u w:val="single"/>
        </w:rPr>
      </w:pPr>
      <w:r w:rsidRPr="000B3636">
        <w:rPr>
          <w:rFonts w:ascii="Arial" w:hAnsi="Arial" w:cs="Arial"/>
          <w:b/>
          <w:u w:val="single"/>
        </w:rPr>
        <w:lastRenderedPageBreak/>
        <w:t>ANNEXURE -1</w:t>
      </w:r>
    </w:p>
    <w:p w:rsidR="00FC0450" w:rsidRDefault="000B3636" w:rsidP="00383B8B">
      <w:pPr>
        <w:pStyle w:val="ListParagraph"/>
        <w:spacing w:after="0" w:line="240" w:lineRule="auto"/>
        <w:jc w:val="right"/>
        <w:rPr>
          <w:rFonts w:ascii="Arial" w:hAnsi="Arial" w:cs="Arial"/>
          <w:b/>
          <w:sz w:val="20"/>
          <w:szCs w:val="20"/>
        </w:rPr>
      </w:pPr>
      <w:r w:rsidRPr="00383B8B">
        <w:rPr>
          <w:rFonts w:ascii="Arial" w:hAnsi="Arial" w:cs="Arial"/>
          <w:b/>
          <w:sz w:val="20"/>
          <w:szCs w:val="20"/>
        </w:rPr>
        <w:t>Types of Records</w:t>
      </w:r>
    </w:p>
    <w:p w:rsidR="00383B8B" w:rsidRPr="00383B8B" w:rsidRDefault="00383B8B" w:rsidP="00383B8B">
      <w:pPr>
        <w:pStyle w:val="ListParagraph"/>
        <w:spacing w:after="0" w:line="240" w:lineRule="auto"/>
        <w:jc w:val="right"/>
        <w:rPr>
          <w:rFonts w:ascii="Arial" w:hAnsi="Arial" w:cs="Arial"/>
          <w:b/>
          <w:u w:val="single"/>
        </w:rPr>
      </w:pPr>
    </w:p>
    <w:p w:rsidR="00FC0450" w:rsidRPr="001337DB" w:rsidRDefault="00FC0450" w:rsidP="001337DB">
      <w:pPr>
        <w:pStyle w:val="ListParagraph"/>
        <w:numPr>
          <w:ilvl w:val="0"/>
          <w:numId w:val="12"/>
        </w:numPr>
        <w:spacing w:after="0" w:line="240" w:lineRule="auto"/>
        <w:jc w:val="both"/>
        <w:rPr>
          <w:rFonts w:ascii="Arial" w:hAnsi="Arial" w:cs="Arial"/>
          <w:b/>
          <w:sz w:val="20"/>
          <w:szCs w:val="20"/>
        </w:rPr>
      </w:pPr>
      <w:r w:rsidRPr="001337DB">
        <w:rPr>
          <w:rFonts w:ascii="Arial" w:hAnsi="Arial" w:cs="Arial"/>
          <w:b/>
          <w:sz w:val="20"/>
          <w:szCs w:val="20"/>
        </w:rPr>
        <w:t>Accounting and Finance Records including Annual Financial Statements</w:t>
      </w:r>
    </w:p>
    <w:tbl>
      <w:tblPr>
        <w:tblW w:w="828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2610"/>
      </w:tblGrid>
      <w:tr w:rsidR="001337DB" w:rsidRPr="00383B8B" w:rsidTr="001337DB">
        <w:tc>
          <w:tcPr>
            <w:tcW w:w="5670" w:type="dxa"/>
          </w:tcPr>
          <w:p w:rsidR="001337DB" w:rsidRPr="00383B8B" w:rsidRDefault="001337DB" w:rsidP="001337DB">
            <w:pPr>
              <w:spacing w:after="0" w:line="240" w:lineRule="auto"/>
              <w:jc w:val="center"/>
              <w:rPr>
                <w:rFonts w:ascii="Arial" w:hAnsi="Arial" w:cs="Arial"/>
                <w:b/>
                <w:sz w:val="18"/>
                <w:szCs w:val="18"/>
              </w:rPr>
            </w:pPr>
            <w:r w:rsidRPr="00383B8B">
              <w:rPr>
                <w:rFonts w:ascii="Arial" w:hAnsi="Arial" w:cs="Arial"/>
                <w:b/>
                <w:sz w:val="18"/>
                <w:szCs w:val="18"/>
              </w:rPr>
              <w:t>Record Type</w:t>
            </w:r>
          </w:p>
        </w:tc>
        <w:tc>
          <w:tcPr>
            <w:tcW w:w="2610" w:type="dxa"/>
          </w:tcPr>
          <w:p w:rsidR="001337DB" w:rsidRPr="00383B8B" w:rsidRDefault="001337DB" w:rsidP="001337DB">
            <w:pPr>
              <w:spacing w:after="0" w:line="240" w:lineRule="auto"/>
              <w:rPr>
                <w:rFonts w:ascii="Arial" w:hAnsi="Arial" w:cs="Arial"/>
                <w:b/>
                <w:sz w:val="18"/>
                <w:szCs w:val="18"/>
              </w:rPr>
            </w:pPr>
            <w:r w:rsidRPr="00383B8B">
              <w:rPr>
                <w:rFonts w:ascii="Arial" w:hAnsi="Arial" w:cs="Arial"/>
                <w:b/>
                <w:sz w:val="18"/>
                <w:szCs w:val="18"/>
              </w:rPr>
              <w:t>Retention Period</w:t>
            </w:r>
          </w:p>
        </w:tc>
      </w:tr>
      <w:tr w:rsidR="001337DB" w:rsidRPr="00383B8B" w:rsidTr="001337DB">
        <w:tc>
          <w:tcPr>
            <w:tcW w:w="567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Annual Audit Reports &amp; Financial Statements</w:t>
            </w:r>
          </w:p>
        </w:tc>
        <w:tc>
          <w:tcPr>
            <w:tcW w:w="261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Permanent</w:t>
            </w:r>
          </w:p>
        </w:tc>
      </w:tr>
      <w:tr w:rsidR="001337DB" w:rsidRPr="00383B8B" w:rsidTr="001337DB">
        <w:trPr>
          <w:trHeight w:val="485"/>
        </w:trPr>
        <w:tc>
          <w:tcPr>
            <w:tcW w:w="5670" w:type="dxa"/>
          </w:tcPr>
          <w:p w:rsidR="001337DB" w:rsidRPr="00383B8B" w:rsidRDefault="001337DB" w:rsidP="00035AAE">
            <w:pPr>
              <w:spacing w:after="0" w:line="240" w:lineRule="auto"/>
              <w:rPr>
                <w:rFonts w:ascii="Arial" w:hAnsi="Arial" w:cs="Arial"/>
                <w:sz w:val="18"/>
                <w:szCs w:val="18"/>
              </w:rPr>
            </w:pPr>
            <w:r w:rsidRPr="00383B8B">
              <w:rPr>
                <w:rFonts w:ascii="Arial" w:hAnsi="Arial" w:cs="Arial"/>
                <w:sz w:val="18"/>
                <w:szCs w:val="18"/>
              </w:rPr>
              <w:t>Annual Audit Records, including work papers and other</w:t>
            </w:r>
            <w:r w:rsidR="00035AAE">
              <w:rPr>
                <w:rFonts w:ascii="Arial" w:hAnsi="Arial" w:cs="Arial"/>
                <w:sz w:val="18"/>
                <w:szCs w:val="18"/>
              </w:rPr>
              <w:t xml:space="preserve"> </w:t>
            </w:r>
            <w:r w:rsidRPr="00383B8B">
              <w:rPr>
                <w:rFonts w:ascii="Arial" w:hAnsi="Arial" w:cs="Arial"/>
                <w:sz w:val="18"/>
                <w:szCs w:val="18"/>
              </w:rPr>
              <w:t>documents that related to the audit</w:t>
            </w:r>
            <w:r w:rsidR="00035AAE">
              <w:rPr>
                <w:rFonts w:ascii="Arial" w:hAnsi="Arial" w:cs="Arial"/>
                <w:sz w:val="18"/>
                <w:szCs w:val="18"/>
              </w:rPr>
              <w:t>, including detailed file related to annual audit</w:t>
            </w:r>
          </w:p>
        </w:tc>
        <w:tc>
          <w:tcPr>
            <w:tcW w:w="261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8 years after completion of Audit</w:t>
            </w:r>
          </w:p>
        </w:tc>
      </w:tr>
      <w:tr w:rsidR="001337DB" w:rsidRPr="00383B8B" w:rsidTr="001337DB">
        <w:tc>
          <w:tcPr>
            <w:tcW w:w="567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Annual Plans &amp; Budget</w:t>
            </w:r>
          </w:p>
        </w:tc>
        <w:tc>
          <w:tcPr>
            <w:tcW w:w="261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3 years after the budget year is closed</w:t>
            </w:r>
          </w:p>
        </w:tc>
      </w:tr>
      <w:tr w:rsidR="001337DB" w:rsidRPr="00383B8B" w:rsidTr="001337DB">
        <w:trPr>
          <w:trHeight w:val="260"/>
        </w:trPr>
        <w:tc>
          <w:tcPr>
            <w:tcW w:w="5670" w:type="dxa"/>
          </w:tcPr>
          <w:p w:rsidR="001337DB" w:rsidRPr="00383B8B" w:rsidRDefault="001337DB" w:rsidP="00035AAE">
            <w:pPr>
              <w:spacing w:after="0" w:line="240" w:lineRule="auto"/>
              <w:rPr>
                <w:rFonts w:ascii="Arial" w:hAnsi="Arial" w:cs="Arial"/>
                <w:sz w:val="18"/>
                <w:szCs w:val="18"/>
              </w:rPr>
            </w:pPr>
            <w:r w:rsidRPr="00383B8B">
              <w:rPr>
                <w:rFonts w:ascii="Arial" w:hAnsi="Arial" w:cs="Arial"/>
                <w:sz w:val="18"/>
                <w:szCs w:val="18"/>
              </w:rPr>
              <w:t xml:space="preserve">Bank Statement </w:t>
            </w:r>
          </w:p>
        </w:tc>
        <w:tc>
          <w:tcPr>
            <w:tcW w:w="261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8 years</w:t>
            </w:r>
          </w:p>
        </w:tc>
      </w:tr>
      <w:tr w:rsidR="001337DB" w:rsidRPr="00383B8B" w:rsidTr="001337DB">
        <w:tc>
          <w:tcPr>
            <w:tcW w:w="567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General  Ledger</w:t>
            </w:r>
          </w:p>
        </w:tc>
        <w:tc>
          <w:tcPr>
            <w:tcW w:w="261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Permanent</w:t>
            </w:r>
          </w:p>
        </w:tc>
      </w:tr>
      <w:tr w:rsidR="001337DB" w:rsidRPr="00383B8B" w:rsidTr="001337DB">
        <w:tc>
          <w:tcPr>
            <w:tcW w:w="567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Interim Financial Statements</w:t>
            </w:r>
          </w:p>
        </w:tc>
        <w:tc>
          <w:tcPr>
            <w:tcW w:w="261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8 years</w:t>
            </w:r>
          </w:p>
        </w:tc>
      </w:tr>
      <w:tr w:rsidR="001337DB" w:rsidRPr="00383B8B" w:rsidTr="001337DB">
        <w:tc>
          <w:tcPr>
            <w:tcW w:w="567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Investment Records</w:t>
            </w:r>
          </w:p>
        </w:tc>
        <w:tc>
          <w:tcPr>
            <w:tcW w:w="261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Permanent</w:t>
            </w:r>
          </w:p>
        </w:tc>
      </w:tr>
      <w:tr w:rsidR="001337DB" w:rsidRPr="00383B8B" w:rsidTr="001337DB">
        <w:tc>
          <w:tcPr>
            <w:tcW w:w="5670" w:type="dxa"/>
          </w:tcPr>
          <w:p w:rsidR="001337DB" w:rsidRPr="00383B8B" w:rsidRDefault="00035AAE" w:rsidP="001337DB">
            <w:pPr>
              <w:spacing w:after="0" w:line="240" w:lineRule="auto"/>
              <w:rPr>
                <w:rFonts w:ascii="Arial" w:hAnsi="Arial" w:cs="Arial"/>
                <w:sz w:val="18"/>
                <w:szCs w:val="18"/>
              </w:rPr>
            </w:pPr>
            <w:r>
              <w:rPr>
                <w:rFonts w:ascii="Arial" w:hAnsi="Arial" w:cs="Arial"/>
                <w:sz w:val="18"/>
                <w:szCs w:val="18"/>
              </w:rPr>
              <w:t>Voucher(Bank, Cash and Journal)</w:t>
            </w:r>
          </w:p>
        </w:tc>
        <w:tc>
          <w:tcPr>
            <w:tcW w:w="2610" w:type="dxa"/>
          </w:tcPr>
          <w:p w:rsidR="001337DB" w:rsidRPr="00383B8B" w:rsidRDefault="00035AAE" w:rsidP="001337DB">
            <w:pPr>
              <w:spacing w:after="0" w:line="240" w:lineRule="auto"/>
              <w:rPr>
                <w:rFonts w:ascii="Arial" w:hAnsi="Arial" w:cs="Arial"/>
                <w:sz w:val="18"/>
                <w:szCs w:val="18"/>
              </w:rPr>
            </w:pPr>
            <w:r w:rsidRPr="00383B8B">
              <w:rPr>
                <w:rFonts w:ascii="Arial" w:hAnsi="Arial" w:cs="Arial"/>
                <w:sz w:val="18"/>
                <w:szCs w:val="18"/>
              </w:rPr>
              <w:t>8 years</w:t>
            </w:r>
          </w:p>
        </w:tc>
      </w:tr>
      <w:tr w:rsidR="00035AAE" w:rsidRPr="00383B8B" w:rsidTr="001337DB">
        <w:tc>
          <w:tcPr>
            <w:tcW w:w="5670" w:type="dxa"/>
          </w:tcPr>
          <w:p w:rsidR="00035AAE" w:rsidRDefault="00035AAE" w:rsidP="00035AAE">
            <w:pPr>
              <w:spacing w:after="0" w:line="240" w:lineRule="auto"/>
              <w:rPr>
                <w:rFonts w:ascii="Arial" w:hAnsi="Arial" w:cs="Arial"/>
                <w:sz w:val="18"/>
                <w:szCs w:val="18"/>
              </w:rPr>
            </w:pPr>
            <w:r>
              <w:rPr>
                <w:rFonts w:ascii="Arial" w:hAnsi="Arial" w:cs="Arial"/>
                <w:sz w:val="18"/>
                <w:szCs w:val="18"/>
              </w:rPr>
              <w:t>Purchase Register along with Bills</w:t>
            </w:r>
          </w:p>
        </w:tc>
        <w:tc>
          <w:tcPr>
            <w:tcW w:w="2610" w:type="dxa"/>
          </w:tcPr>
          <w:p w:rsidR="00035AAE" w:rsidRDefault="00035AAE" w:rsidP="00035AAE">
            <w:pPr>
              <w:spacing w:after="0" w:line="240" w:lineRule="auto"/>
            </w:pPr>
            <w:r w:rsidRPr="00EF6066">
              <w:rPr>
                <w:rFonts w:ascii="Arial" w:hAnsi="Arial" w:cs="Arial"/>
                <w:sz w:val="18"/>
                <w:szCs w:val="18"/>
              </w:rPr>
              <w:t>8 years</w:t>
            </w:r>
          </w:p>
        </w:tc>
      </w:tr>
      <w:tr w:rsidR="00035AAE" w:rsidRPr="00383B8B" w:rsidTr="001337DB">
        <w:tc>
          <w:tcPr>
            <w:tcW w:w="5670" w:type="dxa"/>
          </w:tcPr>
          <w:p w:rsidR="00035AAE" w:rsidRDefault="00035AAE" w:rsidP="00035AAE">
            <w:pPr>
              <w:spacing w:after="0" w:line="240" w:lineRule="auto"/>
              <w:rPr>
                <w:rFonts w:ascii="Arial" w:hAnsi="Arial" w:cs="Arial"/>
                <w:sz w:val="18"/>
                <w:szCs w:val="18"/>
              </w:rPr>
            </w:pPr>
            <w:r>
              <w:rPr>
                <w:rFonts w:ascii="Arial" w:hAnsi="Arial" w:cs="Arial"/>
                <w:sz w:val="18"/>
                <w:szCs w:val="18"/>
              </w:rPr>
              <w:t>Sales Register along with Invoices</w:t>
            </w:r>
          </w:p>
        </w:tc>
        <w:tc>
          <w:tcPr>
            <w:tcW w:w="2610" w:type="dxa"/>
          </w:tcPr>
          <w:p w:rsidR="00035AAE" w:rsidRDefault="00035AAE" w:rsidP="00035AAE">
            <w:pPr>
              <w:spacing w:after="0" w:line="240" w:lineRule="auto"/>
            </w:pPr>
            <w:r w:rsidRPr="00EF6066">
              <w:rPr>
                <w:rFonts w:ascii="Arial" w:hAnsi="Arial" w:cs="Arial"/>
                <w:sz w:val="18"/>
                <w:szCs w:val="18"/>
              </w:rPr>
              <w:t>8 years</w:t>
            </w:r>
          </w:p>
        </w:tc>
      </w:tr>
    </w:tbl>
    <w:p w:rsidR="00383B8B" w:rsidRPr="00406AD4" w:rsidRDefault="00383B8B" w:rsidP="00406AD4">
      <w:pPr>
        <w:spacing w:after="0" w:line="240" w:lineRule="auto"/>
        <w:rPr>
          <w:rFonts w:ascii="Arial" w:hAnsi="Arial" w:cs="Arial"/>
          <w:b/>
          <w:sz w:val="18"/>
          <w:szCs w:val="18"/>
        </w:rPr>
      </w:pPr>
    </w:p>
    <w:p w:rsidR="00FC0450" w:rsidRPr="00383B8B" w:rsidRDefault="00FC0450" w:rsidP="001337DB">
      <w:pPr>
        <w:pStyle w:val="ListParagraph"/>
        <w:numPr>
          <w:ilvl w:val="0"/>
          <w:numId w:val="12"/>
        </w:numPr>
        <w:spacing w:after="0" w:line="240" w:lineRule="auto"/>
        <w:rPr>
          <w:rFonts w:ascii="Arial" w:hAnsi="Arial" w:cs="Arial"/>
          <w:b/>
          <w:sz w:val="18"/>
          <w:szCs w:val="18"/>
          <w:u w:val="single"/>
        </w:rPr>
      </w:pPr>
      <w:r w:rsidRPr="00383B8B">
        <w:rPr>
          <w:rFonts w:ascii="Arial" w:hAnsi="Arial" w:cs="Arial"/>
          <w:b/>
          <w:sz w:val="18"/>
          <w:szCs w:val="18"/>
          <w:u w:val="single"/>
        </w:rPr>
        <w:t>Insurance Records</w:t>
      </w:r>
    </w:p>
    <w:tbl>
      <w:tblPr>
        <w:tblW w:w="792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2250"/>
      </w:tblGrid>
      <w:tr w:rsidR="001337DB" w:rsidRPr="00383B8B" w:rsidTr="001337DB">
        <w:tc>
          <w:tcPr>
            <w:tcW w:w="5670" w:type="dxa"/>
          </w:tcPr>
          <w:p w:rsidR="001337DB" w:rsidRPr="00383B8B" w:rsidRDefault="001337DB" w:rsidP="001337DB">
            <w:pPr>
              <w:spacing w:after="0" w:line="240" w:lineRule="auto"/>
              <w:jc w:val="center"/>
              <w:rPr>
                <w:rFonts w:ascii="Arial" w:hAnsi="Arial" w:cs="Arial"/>
                <w:b/>
                <w:sz w:val="18"/>
                <w:szCs w:val="18"/>
              </w:rPr>
            </w:pPr>
            <w:r w:rsidRPr="00383B8B">
              <w:rPr>
                <w:rFonts w:ascii="Arial" w:hAnsi="Arial" w:cs="Arial"/>
                <w:b/>
                <w:sz w:val="18"/>
                <w:szCs w:val="18"/>
              </w:rPr>
              <w:t>Record Type</w:t>
            </w:r>
          </w:p>
        </w:tc>
        <w:tc>
          <w:tcPr>
            <w:tcW w:w="2250" w:type="dxa"/>
          </w:tcPr>
          <w:p w:rsidR="001337DB" w:rsidRPr="00383B8B" w:rsidRDefault="001337DB" w:rsidP="001337DB">
            <w:pPr>
              <w:spacing w:after="0" w:line="240" w:lineRule="auto"/>
              <w:rPr>
                <w:rFonts w:ascii="Arial" w:hAnsi="Arial" w:cs="Arial"/>
                <w:b/>
                <w:sz w:val="18"/>
                <w:szCs w:val="18"/>
              </w:rPr>
            </w:pPr>
            <w:r w:rsidRPr="00383B8B">
              <w:rPr>
                <w:rFonts w:ascii="Arial" w:hAnsi="Arial" w:cs="Arial"/>
                <w:b/>
                <w:sz w:val="18"/>
                <w:szCs w:val="18"/>
              </w:rPr>
              <w:t>Retention Period</w:t>
            </w:r>
          </w:p>
        </w:tc>
      </w:tr>
      <w:tr w:rsidR="001337DB" w:rsidRPr="00383B8B" w:rsidTr="001337DB">
        <w:tc>
          <w:tcPr>
            <w:tcW w:w="567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Claims Files (including correspondence, medical records, injury documentation, etc.</w:t>
            </w:r>
          </w:p>
        </w:tc>
        <w:tc>
          <w:tcPr>
            <w:tcW w:w="2250" w:type="dxa"/>
          </w:tcPr>
          <w:p w:rsidR="001337DB" w:rsidRPr="00383B8B" w:rsidRDefault="00035AAE" w:rsidP="001337DB">
            <w:pPr>
              <w:spacing w:after="0" w:line="240" w:lineRule="auto"/>
              <w:rPr>
                <w:rFonts w:ascii="Arial" w:hAnsi="Arial" w:cs="Arial"/>
                <w:sz w:val="18"/>
                <w:szCs w:val="18"/>
              </w:rPr>
            </w:pPr>
            <w:r>
              <w:rPr>
                <w:rFonts w:ascii="Arial" w:hAnsi="Arial" w:cs="Arial"/>
                <w:sz w:val="18"/>
                <w:szCs w:val="18"/>
              </w:rPr>
              <w:t>8 years</w:t>
            </w:r>
          </w:p>
        </w:tc>
      </w:tr>
      <w:tr w:rsidR="001337DB" w:rsidRPr="00383B8B" w:rsidTr="001337DB">
        <w:tc>
          <w:tcPr>
            <w:tcW w:w="567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Group Insurance Plans-Active Employees</w:t>
            </w:r>
          </w:p>
        </w:tc>
        <w:tc>
          <w:tcPr>
            <w:tcW w:w="225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8 years</w:t>
            </w:r>
          </w:p>
        </w:tc>
      </w:tr>
      <w:tr w:rsidR="001337DB" w:rsidRPr="00383B8B" w:rsidTr="001337DB">
        <w:tc>
          <w:tcPr>
            <w:tcW w:w="567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Insurance Policies for the Company</w:t>
            </w:r>
          </w:p>
        </w:tc>
        <w:tc>
          <w:tcPr>
            <w:tcW w:w="225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8 years</w:t>
            </w:r>
          </w:p>
        </w:tc>
      </w:tr>
      <w:tr w:rsidR="001337DB" w:rsidRPr="00383B8B" w:rsidTr="001337DB">
        <w:tc>
          <w:tcPr>
            <w:tcW w:w="567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Releases and Settlements</w:t>
            </w:r>
          </w:p>
        </w:tc>
        <w:tc>
          <w:tcPr>
            <w:tcW w:w="225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8 years</w:t>
            </w:r>
          </w:p>
        </w:tc>
      </w:tr>
    </w:tbl>
    <w:p w:rsidR="00383B8B" w:rsidRPr="00383B8B" w:rsidRDefault="00383B8B" w:rsidP="001337DB">
      <w:pPr>
        <w:spacing w:after="0" w:line="240" w:lineRule="auto"/>
        <w:rPr>
          <w:rFonts w:ascii="Arial" w:hAnsi="Arial" w:cs="Arial"/>
          <w:b/>
          <w:sz w:val="18"/>
          <w:szCs w:val="18"/>
        </w:rPr>
      </w:pPr>
    </w:p>
    <w:p w:rsidR="00FC0450" w:rsidRPr="00383B8B" w:rsidRDefault="00FC0450" w:rsidP="001337DB">
      <w:pPr>
        <w:pStyle w:val="ListParagraph"/>
        <w:numPr>
          <w:ilvl w:val="0"/>
          <w:numId w:val="12"/>
        </w:numPr>
        <w:spacing w:after="0" w:line="240" w:lineRule="auto"/>
        <w:rPr>
          <w:rFonts w:ascii="Arial" w:hAnsi="Arial" w:cs="Arial"/>
          <w:b/>
          <w:sz w:val="18"/>
          <w:szCs w:val="18"/>
        </w:rPr>
      </w:pPr>
      <w:r w:rsidRPr="00383B8B">
        <w:rPr>
          <w:rFonts w:ascii="Arial" w:hAnsi="Arial" w:cs="Arial"/>
          <w:b/>
          <w:sz w:val="18"/>
          <w:szCs w:val="18"/>
        </w:rPr>
        <w:t>Tax Records</w:t>
      </w:r>
    </w:p>
    <w:tbl>
      <w:tblPr>
        <w:tblW w:w="792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2250"/>
      </w:tblGrid>
      <w:tr w:rsidR="001337DB" w:rsidRPr="00383B8B" w:rsidTr="001337DB">
        <w:tc>
          <w:tcPr>
            <w:tcW w:w="5670" w:type="dxa"/>
          </w:tcPr>
          <w:p w:rsidR="001337DB" w:rsidRPr="00383B8B" w:rsidRDefault="001337DB" w:rsidP="001337DB">
            <w:pPr>
              <w:spacing w:after="0" w:line="240" w:lineRule="auto"/>
              <w:jc w:val="center"/>
              <w:rPr>
                <w:rFonts w:ascii="Arial" w:hAnsi="Arial" w:cs="Arial"/>
                <w:b/>
                <w:sz w:val="18"/>
                <w:szCs w:val="18"/>
              </w:rPr>
            </w:pPr>
            <w:r w:rsidRPr="00383B8B">
              <w:rPr>
                <w:rFonts w:ascii="Arial" w:hAnsi="Arial" w:cs="Arial"/>
                <w:b/>
                <w:sz w:val="18"/>
                <w:szCs w:val="18"/>
              </w:rPr>
              <w:t>Record Type</w:t>
            </w:r>
          </w:p>
        </w:tc>
        <w:tc>
          <w:tcPr>
            <w:tcW w:w="2250" w:type="dxa"/>
          </w:tcPr>
          <w:p w:rsidR="001337DB" w:rsidRPr="00383B8B" w:rsidRDefault="001337DB" w:rsidP="001337DB">
            <w:pPr>
              <w:spacing w:after="0" w:line="240" w:lineRule="auto"/>
              <w:rPr>
                <w:rFonts w:ascii="Arial" w:hAnsi="Arial" w:cs="Arial"/>
                <w:b/>
                <w:sz w:val="18"/>
                <w:szCs w:val="18"/>
              </w:rPr>
            </w:pPr>
            <w:r w:rsidRPr="00383B8B">
              <w:rPr>
                <w:rFonts w:ascii="Arial" w:hAnsi="Arial" w:cs="Arial"/>
                <w:b/>
                <w:sz w:val="18"/>
                <w:szCs w:val="18"/>
              </w:rPr>
              <w:t>Retention Period</w:t>
            </w:r>
          </w:p>
        </w:tc>
      </w:tr>
      <w:tr w:rsidR="001337DB" w:rsidRPr="00383B8B" w:rsidTr="001337DB">
        <w:tc>
          <w:tcPr>
            <w:tcW w:w="5670" w:type="dxa"/>
          </w:tcPr>
          <w:p w:rsidR="001337DB" w:rsidRPr="00383B8B" w:rsidRDefault="00035AAE" w:rsidP="00035AAE">
            <w:pPr>
              <w:spacing w:after="0" w:line="240" w:lineRule="auto"/>
              <w:rPr>
                <w:rFonts w:ascii="Arial" w:hAnsi="Arial" w:cs="Arial"/>
                <w:sz w:val="18"/>
                <w:szCs w:val="18"/>
              </w:rPr>
            </w:pPr>
            <w:r>
              <w:rPr>
                <w:rFonts w:ascii="Arial" w:hAnsi="Arial" w:cs="Arial"/>
                <w:sz w:val="18"/>
                <w:szCs w:val="18"/>
              </w:rPr>
              <w:t xml:space="preserve">Tax </w:t>
            </w:r>
            <w:r w:rsidR="001337DB" w:rsidRPr="00383B8B">
              <w:rPr>
                <w:rFonts w:ascii="Arial" w:hAnsi="Arial" w:cs="Arial"/>
                <w:sz w:val="18"/>
                <w:szCs w:val="18"/>
              </w:rPr>
              <w:t xml:space="preserve"> related correspondence</w:t>
            </w:r>
          </w:p>
        </w:tc>
        <w:tc>
          <w:tcPr>
            <w:tcW w:w="225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8 years</w:t>
            </w:r>
          </w:p>
        </w:tc>
      </w:tr>
      <w:tr w:rsidR="001337DB" w:rsidRPr="00383B8B" w:rsidTr="001337DB">
        <w:tc>
          <w:tcPr>
            <w:tcW w:w="567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Payroll Tax Records</w:t>
            </w:r>
          </w:p>
        </w:tc>
        <w:tc>
          <w:tcPr>
            <w:tcW w:w="225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8 years</w:t>
            </w:r>
          </w:p>
        </w:tc>
      </w:tr>
      <w:tr w:rsidR="001337DB" w:rsidRPr="00383B8B" w:rsidTr="001337DB">
        <w:tc>
          <w:tcPr>
            <w:tcW w:w="567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Tax Bills, Receipt, Statements</w:t>
            </w:r>
          </w:p>
        </w:tc>
        <w:tc>
          <w:tcPr>
            <w:tcW w:w="225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8 years</w:t>
            </w:r>
          </w:p>
        </w:tc>
      </w:tr>
      <w:tr w:rsidR="001337DB" w:rsidRPr="00383B8B" w:rsidTr="001337DB">
        <w:tc>
          <w:tcPr>
            <w:tcW w:w="5670" w:type="dxa"/>
          </w:tcPr>
          <w:p w:rsidR="001337DB" w:rsidRPr="00383B8B" w:rsidRDefault="001337DB" w:rsidP="00035AAE">
            <w:pPr>
              <w:spacing w:after="0" w:line="240" w:lineRule="auto"/>
              <w:rPr>
                <w:rFonts w:ascii="Arial" w:hAnsi="Arial" w:cs="Arial"/>
                <w:sz w:val="18"/>
                <w:szCs w:val="18"/>
              </w:rPr>
            </w:pPr>
            <w:r w:rsidRPr="00383B8B">
              <w:rPr>
                <w:rFonts w:ascii="Arial" w:hAnsi="Arial" w:cs="Arial"/>
                <w:sz w:val="18"/>
                <w:szCs w:val="18"/>
              </w:rPr>
              <w:t>Tax Returns</w:t>
            </w:r>
          </w:p>
        </w:tc>
        <w:tc>
          <w:tcPr>
            <w:tcW w:w="225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Permanent</w:t>
            </w:r>
          </w:p>
        </w:tc>
      </w:tr>
      <w:tr w:rsidR="001337DB" w:rsidRPr="00383B8B" w:rsidTr="001337DB">
        <w:tc>
          <w:tcPr>
            <w:tcW w:w="567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Sales/VAT Tax Records</w:t>
            </w:r>
          </w:p>
        </w:tc>
        <w:tc>
          <w:tcPr>
            <w:tcW w:w="225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8 years</w:t>
            </w:r>
          </w:p>
        </w:tc>
      </w:tr>
      <w:tr w:rsidR="001337DB" w:rsidRPr="00383B8B" w:rsidTr="001337DB">
        <w:tc>
          <w:tcPr>
            <w:tcW w:w="567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Service Tax Records</w:t>
            </w:r>
          </w:p>
        </w:tc>
        <w:tc>
          <w:tcPr>
            <w:tcW w:w="225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8 years</w:t>
            </w:r>
          </w:p>
        </w:tc>
      </w:tr>
    </w:tbl>
    <w:p w:rsidR="00383B8B" w:rsidRPr="00383B8B" w:rsidRDefault="00383B8B" w:rsidP="00383B8B">
      <w:pPr>
        <w:spacing w:after="0" w:line="240" w:lineRule="auto"/>
        <w:rPr>
          <w:rFonts w:ascii="Arial" w:hAnsi="Arial" w:cs="Arial"/>
          <w:sz w:val="18"/>
          <w:szCs w:val="18"/>
        </w:rPr>
      </w:pPr>
    </w:p>
    <w:p w:rsidR="00FC0450" w:rsidRPr="00383B8B" w:rsidRDefault="00FC0450" w:rsidP="001337DB">
      <w:pPr>
        <w:pStyle w:val="ListParagraph"/>
        <w:numPr>
          <w:ilvl w:val="0"/>
          <w:numId w:val="13"/>
        </w:numPr>
        <w:spacing w:after="0" w:line="240" w:lineRule="auto"/>
        <w:rPr>
          <w:rFonts w:ascii="Arial" w:hAnsi="Arial" w:cs="Arial"/>
          <w:b/>
          <w:sz w:val="18"/>
          <w:szCs w:val="18"/>
          <w:u w:val="single"/>
        </w:rPr>
      </w:pPr>
      <w:r w:rsidRPr="00383B8B">
        <w:rPr>
          <w:rFonts w:ascii="Arial" w:hAnsi="Arial" w:cs="Arial"/>
          <w:b/>
          <w:sz w:val="18"/>
          <w:szCs w:val="18"/>
          <w:u w:val="single"/>
        </w:rPr>
        <w:t xml:space="preserve">Corporate Records </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0"/>
        <w:gridCol w:w="1890"/>
      </w:tblGrid>
      <w:tr w:rsidR="001337DB" w:rsidRPr="00383B8B" w:rsidTr="001337DB">
        <w:tc>
          <w:tcPr>
            <w:tcW w:w="6030" w:type="dxa"/>
          </w:tcPr>
          <w:p w:rsidR="001337DB" w:rsidRPr="00383B8B" w:rsidRDefault="001337DB" w:rsidP="001337DB">
            <w:pPr>
              <w:spacing w:after="0" w:line="240" w:lineRule="auto"/>
              <w:rPr>
                <w:rFonts w:ascii="Arial" w:hAnsi="Arial" w:cs="Arial"/>
                <w:b/>
                <w:sz w:val="18"/>
                <w:szCs w:val="18"/>
              </w:rPr>
            </w:pPr>
            <w:r w:rsidRPr="00383B8B">
              <w:rPr>
                <w:rFonts w:ascii="Arial" w:hAnsi="Arial" w:cs="Arial"/>
                <w:b/>
                <w:sz w:val="18"/>
                <w:szCs w:val="18"/>
              </w:rPr>
              <w:t>Record Type</w:t>
            </w:r>
          </w:p>
        </w:tc>
        <w:tc>
          <w:tcPr>
            <w:tcW w:w="1890" w:type="dxa"/>
          </w:tcPr>
          <w:p w:rsidR="001337DB" w:rsidRPr="00383B8B" w:rsidRDefault="001337DB" w:rsidP="001337DB">
            <w:pPr>
              <w:spacing w:after="0" w:line="240" w:lineRule="auto"/>
              <w:rPr>
                <w:rFonts w:ascii="Arial" w:hAnsi="Arial" w:cs="Arial"/>
                <w:b/>
                <w:sz w:val="18"/>
                <w:szCs w:val="18"/>
              </w:rPr>
            </w:pPr>
            <w:r w:rsidRPr="00383B8B">
              <w:rPr>
                <w:rFonts w:ascii="Arial" w:hAnsi="Arial" w:cs="Arial"/>
                <w:b/>
                <w:sz w:val="18"/>
                <w:szCs w:val="18"/>
              </w:rPr>
              <w:t>Retention Period</w:t>
            </w:r>
          </w:p>
        </w:tc>
      </w:tr>
      <w:tr w:rsidR="001337DB" w:rsidRPr="00383B8B" w:rsidTr="001337DB">
        <w:tc>
          <w:tcPr>
            <w:tcW w:w="603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Corporate Records (certificate of incorporation, commencement of business, listing agreement, common seal, minutes book of board and committees thereof, annual  reports originals, etc,)</w:t>
            </w:r>
          </w:p>
        </w:tc>
        <w:tc>
          <w:tcPr>
            <w:tcW w:w="189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Permanent</w:t>
            </w:r>
          </w:p>
        </w:tc>
      </w:tr>
      <w:tr w:rsidR="001337DB" w:rsidRPr="00383B8B" w:rsidTr="001337DB">
        <w:tc>
          <w:tcPr>
            <w:tcW w:w="6030" w:type="dxa"/>
          </w:tcPr>
          <w:p w:rsidR="001337DB" w:rsidRPr="00383B8B" w:rsidRDefault="001337DB" w:rsidP="001337DB">
            <w:pPr>
              <w:spacing w:after="0" w:line="240" w:lineRule="auto"/>
              <w:rPr>
                <w:rFonts w:ascii="Arial" w:hAnsi="Arial" w:cs="Arial"/>
                <w:sz w:val="18"/>
                <w:szCs w:val="18"/>
              </w:rPr>
            </w:pPr>
            <w:proofErr w:type="spellStart"/>
            <w:r w:rsidRPr="00383B8B">
              <w:rPr>
                <w:rFonts w:ascii="Arial" w:hAnsi="Arial" w:cs="Arial"/>
                <w:sz w:val="18"/>
                <w:szCs w:val="18"/>
              </w:rPr>
              <w:t>Licence</w:t>
            </w:r>
            <w:proofErr w:type="spellEnd"/>
            <w:r w:rsidRPr="00383B8B">
              <w:rPr>
                <w:rFonts w:ascii="Arial" w:hAnsi="Arial" w:cs="Arial"/>
                <w:sz w:val="18"/>
                <w:szCs w:val="18"/>
              </w:rPr>
              <w:t xml:space="preserve">  &amp; Permits, Industrial entrepreneurial Memorandum, and other statutory approvals</w:t>
            </w:r>
          </w:p>
        </w:tc>
        <w:tc>
          <w:tcPr>
            <w:tcW w:w="189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Permanent</w:t>
            </w:r>
          </w:p>
        </w:tc>
      </w:tr>
      <w:tr w:rsidR="001337DB" w:rsidRPr="00383B8B" w:rsidTr="001337DB">
        <w:trPr>
          <w:trHeight w:val="143"/>
        </w:trPr>
        <w:tc>
          <w:tcPr>
            <w:tcW w:w="603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Contracts entered into by the Company</w:t>
            </w:r>
          </w:p>
        </w:tc>
        <w:tc>
          <w:tcPr>
            <w:tcW w:w="189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Permanent</w:t>
            </w:r>
          </w:p>
        </w:tc>
      </w:tr>
      <w:tr w:rsidR="001337DB" w:rsidRPr="00383B8B" w:rsidTr="001337DB">
        <w:tc>
          <w:tcPr>
            <w:tcW w:w="603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ROC Fillings &amp; Stock Exchange Filing in physical and Electronic form</w:t>
            </w:r>
          </w:p>
        </w:tc>
        <w:tc>
          <w:tcPr>
            <w:tcW w:w="189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Permanent</w:t>
            </w:r>
          </w:p>
        </w:tc>
      </w:tr>
      <w:tr w:rsidR="001337DB" w:rsidRPr="00383B8B" w:rsidTr="001337DB">
        <w:trPr>
          <w:trHeight w:val="278"/>
        </w:trPr>
        <w:tc>
          <w:tcPr>
            <w:tcW w:w="603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All Statutory Registers under any applicable laws</w:t>
            </w:r>
          </w:p>
        </w:tc>
        <w:tc>
          <w:tcPr>
            <w:tcW w:w="1890" w:type="dxa"/>
          </w:tcPr>
          <w:p w:rsidR="001337DB" w:rsidRPr="00383B8B" w:rsidRDefault="001337DB" w:rsidP="001337DB">
            <w:pPr>
              <w:spacing w:after="0" w:line="240" w:lineRule="auto"/>
              <w:rPr>
                <w:sz w:val="18"/>
                <w:szCs w:val="18"/>
              </w:rPr>
            </w:pPr>
            <w:r w:rsidRPr="00383B8B">
              <w:rPr>
                <w:rFonts w:ascii="Arial" w:hAnsi="Arial" w:cs="Arial"/>
                <w:sz w:val="18"/>
                <w:szCs w:val="18"/>
              </w:rPr>
              <w:t>Permanent</w:t>
            </w:r>
          </w:p>
        </w:tc>
      </w:tr>
      <w:tr w:rsidR="001337DB" w:rsidRPr="00383B8B" w:rsidTr="001337DB">
        <w:tc>
          <w:tcPr>
            <w:tcW w:w="603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 xml:space="preserve">Legal Files &amp; Records  </w:t>
            </w:r>
          </w:p>
        </w:tc>
        <w:tc>
          <w:tcPr>
            <w:tcW w:w="1890" w:type="dxa"/>
          </w:tcPr>
          <w:p w:rsidR="001337DB" w:rsidRPr="00383B8B" w:rsidRDefault="001337DB" w:rsidP="001337DB">
            <w:pPr>
              <w:spacing w:after="0" w:line="240" w:lineRule="auto"/>
              <w:rPr>
                <w:sz w:val="18"/>
                <w:szCs w:val="18"/>
              </w:rPr>
            </w:pPr>
            <w:r w:rsidRPr="00383B8B">
              <w:rPr>
                <w:rFonts w:ascii="Arial" w:hAnsi="Arial" w:cs="Arial"/>
                <w:sz w:val="18"/>
                <w:szCs w:val="18"/>
              </w:rPr>
              <w:t>Permanent</w:t>
            </w:r>
          </w:p>
        </w:tc>
      </w:tr>
      <w:tr w:rsidR="001337DB" w:rsidRPr="00383B8B" w:rsidTr="001337DB">
        <w:tc>
          <w:tcPr>
            <w:tcW w:w="603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 xml:space="preserve">Property Records  </w:t>
            </w:r>
          </w:p>
        </w:tc>
        <w:tc>
          <w:tcPr>
            <w:tcW w:w="1890" w:type="dxa"/>
          </w:tcPr>
          <w:p w:rsidR="001337DB" w:rsidRPr="00383B8B" w:rsidRDefault="001337DB" w:rsidP="001337DB">
            <w:pPr>
              <w:spacing w:after="0" w:line="240" w:lineRule="auto"/>
              <w:rPr>
                <w:sz w:val="18"/>
                <w:szCs w:val="18"/>
              </w:rPr>
            </w:pPr>
            <w:r w:rsidRPr="00383B8B">
              <w:rPr>
                <w:rFonts w:ascii="Arial" w:hAnsi="Arial" w:cs="Arial"/>
                <w:sz w:val="18"/>
                <w:szCs w:val="18"/>
              </w:rPr>
              <w:t>Permanent</w:t>
            </w:r>
          </w:p>
        </w:tc>
      </w:tr>
      <w:tr w:rsidR="001337DB" w:rsidRPr="00383B8B" w:rsidTr="001337DB">
        <w:tc>
          <w:tcPr>
            <w:tcW w:w="603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Payroll, Personnel and HR Records</w:t>
            </w:r>
          </w:p>
        </w:tc>
        <w:tc>
          <w:tcPr>
            <w:tcW w:w="189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Permanent</w:t>
            </w:r>
          </w:p>
        </w:tc>
      </w:tr>
      <w:tr w:rsidR="001337DB" w:rsidRPr="00383B8B" w:rsidTr="001337DB">
        <w:tc>
          <w:tcPr>
            <w:tcW w:w="603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 xml:space="preserve">Production Records  </w:t>
            </w:r>
          </w:p>
        </w:tc>
        <w:tc>
          <w:tcPr>
            <w:tcW w:w="1890" w:type="dxa"/>
          </w:tcPr>
          <w:p w:rsidR="001337DB" w:rsidRPr="00383B8B" w:rsidRDefault="001337DB" w:rsidP="001337DB">
            <w:pPr>
              <w:spacing w:after="0" w:line="240" w:lineRule="auto"/>
              <w:rPr>
                <w:rFonts w:ascii="Arial" w:hAnsi="Arial" w:cs="Arial"/>
                <w:sz w:val="18"/>
                <w:szCs w:val="18"/>
              </w:rPr>
            </w:pPr>
            <w:r w:rsidRPr="00383B8B">
              <w:rPr>
                <w:rFonts w:ascii="Arial" w:hAnsi="Arial" w:cs="Arial"/>
                <w:sz w:val="18"/>
                <w:szCs w:val="18"/>
              </w:rPr>
              <w:t>8 Years</w:t>
            </w:r>
          </w:p>
        </w:tc>
      </w:tr>
    </w:tbl>
    <w:p w:rsidR="00FC0450" w:rsidRPr="001337DB" w:rsidRDefault="00FC0450" w:rsidP="00383B8B">
      <w:pPr>
        <w:spacing w:after="0" w:line="240" w:lineRule="auto"/>
        <w:jc w:val="both"/>
        <w:rPr>
          <w:rFonts w:ascii="Arial" w:hAnsi="Arial" w:cs="Arial"/>
          <w:color w:val="FF0000"/>
          <w:sz w:val="20"/>
          <w:szCs w:val="20"/>
        </w:rPr>
      </w:pPr>
    </w:p>
    <w:sectPr w:rsidR="00FC0450" w:rsidRPr="001337DB" w:rsidSect="00A82ABB">
      <w:pgSz w:w="12240" w:h="15840"/>
      <w:pgMar w:top="21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15F"/>
    <w:multiLevelType w:val="hybridMultilevel"/>
    <w:tmpl w:val="A1ACAA44"/>
    <w:lvl w:ilvl="0" w:tplc="9E0A88F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C8F0DD0"/>
    <w:multiLevelType w:val="hybridMultilevel"/>
    <w:tmpl w:val="1DBAD7B8"/>
    <w:lvl w:ilvl="0" w:tplc="6A9C6E5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5A7D59"/>
    <w:multiLevelType w:val="hybridMultilevel"/>
    <w:tmpl w:val="555048C4"/>
    <w:lvl w:ilvl="0" w:tplc="0C5C91D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454DD6"/>
    <w:multiLevelType w:val="hybridMultilevel"/>
    <w:tmpl w:val="24367F98"/>
    <w:lvl w:ilvl="0" w:tplc="BB96E0B6">
      <w:start w:val="1"/>
      <w:numFmt w:val="lowerRoman"/>
      <w:lvlText w:val="(%1)"/>
      <w:lvlJc w:val="left"/>
      <w:pPr>
        <w:tabs>
          <w:tab w:val="num" w:pos="1440"/>
        </w:tabs>
        <w:ind w:left="1440" w:hanging="720"/>
      </w:pPr>
      <w:rPr>
        <w:rFonts w:hint="default"/>
      </w:rPr>
    </w:lvl>
    <w:lvl w:ilvl="1" w:tplc="89B430C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291587"/>
    <w:multiLevelType w:val="hybridMultilevel"/>
    <w:tmpl w:val="8E8AB34E"/>
    <w:lvl w:ilvl="0" w:tplc="30904A4C">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266860"/>
    <w:multiLevelType w:val="hybridMultilevel"/>
    <w:tmpl w:val="47A286D4"/>
    <w:lvl w:ilvl="0" w:tplc="E2EAB79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7A7FEA"/>
    <w:multiLevelType w:val="hybridMultilevel"/>
    <w:tmpl w:val="E8A0C786"/>
    <w:lvl w:ilvl="0" w:tplc="5C92AD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8A4ACB"/>
    <w:multiLevelType w:val="hybridMultilevel"/>
    <w:tmpl w:val="555048C4"/>
    <w:lvl w:ilvl="0" w:tplc="0C5C91D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2C11A9"/>
    <w:multiLevelType w:val="hybridMultilevel"/>
    <w:tmpl w:val="28328FBE"/>
    <w:lvl w:ilvl="0" w:tplc="F9C834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4A7D7B"/>
    <w:multiLevelType w:val="hybridMultilevel"/>
    <w:tmpl w:val="C73CD272"/>
    <w:lvl w:ilvl="0" w:tplc="1952DFFC">
      <w:start w:val="1"/>
      <w:numFmt w:val="lowerRoman"/>
      <w:lvlText w:val="%1."/>
      <w:lvlJc w:val="left"/>
      <w:pPr>
        <w:ind w:left="1350" w:hanging="72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63D10F49"/>
    <w:multiLevelType w:val="hybridMultilevel"/>
    <w:tmpl w:val="4232E09C"/>
    <w:lvl w:ilvl="0" w:tplc="76E81EB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FE44BE7"/>
    <w:multiLevelType w:val="hybridMultilevel"/>
    <w:tmpl w:val="A6F225F6"/>
    <w:lvl w:ilvl="0" w:tplc="1A4636B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753C45D2"/>
    <w:multiLevelType w:val="hybridMultilevel"/>
    <w:tmpl w:val="B6766D70"/>
    <w:lvl w:ilvl="0" w:tplc="E320DCC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8C56B48"/>
    <w:multiLevelType w:val="hybridMultilevel"/>
    <w:tmpl w:val="4912CF38"/>
    <w:lvl w:ilvl="0" w:tplc="41E8B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12"/>
  </w:num>
  <w:num w:numId="4">
    <w:abstractNumId w:val="1"/>
  </w:num>
  <w:num w:numId="5">
    <w:abstractNumId w:val="10"/>
  </w:num>
  <w:num w:numId="6">
    <w:abstractNumId w:val="5"/>
  </w:num>
  <w:num w:numId="7">
    <w:abstractNumId w:val="6"/>
  </w:num>
  <w:num w:numId="8">
    <w:abstractNumId w:val="13"/>
  </w:num>
  <w:num w:numId="9">
    <w:abstractNumId w:val="3"/>
  </w:num>
  <w:num w:numId="10">
    <w:abstractNumId w:val="11"/>
  </w:num>
  <w:num w:numId="11">
    <w:abstractNumId w:val="8"/>
  </w:num>
  <w:num w:numId="12">
    <w:abstractNumId w:val="4"/>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87714"/>
    <w:rsid w:val="00016B06"/>
    <w:rsid w:val="00035AAE"/>
    <w:rsid w:val="000B3636"/>
    <w:rsid w:val="001337DB"/>
    <w:rsid w:val="00383B8B"/>
    <w:rsid w:val="00406AD4"/>
    <w:rsid w:val="005860A1"/>
    <w:rsid w:val="006C5C23"/>
    <w:rsid w:val="00776A78"/>
    <w:rsid w:val="00787714"/>
    <w:rsid w:val="009610D8"/>
    <w:rsid w:val="009D4C84"/>
    <w:rsid w:val="00A237CD"/>
    <w:rsid w:val="00A33653"/>
    <w:rsid w:val="00A404DD"/>
    <w:rsid w:val="00A82ABB"/>
    <w:rsid w:val="00A9727E"/>
    <w:rsid w:val="00E04373"/>
    <w:rsid w:val="00E7686D"/>
    <w:rsid w:val="00E9479A"/>
    <w:rsid w:val="00E96FD9"/>
    <w:rsid w:val="00FC0450"/>
    <w:rsid w:val="00FD4294"/>
    <w:rsid w:val="00FF5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714"/>
    <w:pPr>
      <w:ind w:left="720"/>
      <w:contextualSpacing/>
    </w:pPr>
    <w:rPr>
      <w:rFonts w:ascii="Calibri" w:eastAsia="Calibri" w:hAnsi="Calibri" w:cs="Times New Roman"/>
    </w:rPr>
  </w:style>
  <w:style w:type="character" w:styleId="Hyperlink">
    <w:name w:val="Hyperlink"/>
    <w:basedOn w:val="DefaultParagraphFont"/>
    <w:uiPriority w:val="99"/>
    <w:unhideWhenUsed/>
    <w:rsid w:val="00787714"/>
    <w:rPr>
      <w:color w:val="0000FF"/>
      <w:u w:val="single"/>
    </w:rPr>
  </w:style>
  <w:style w:type="paragraph" w:customStyle="1" w:styleId="Default">
    <w:name w:val="Default"/>
    <w:rsid w:val="00E96F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kanco</dc:creator>
  <cp:lastModifiedBy>kanco</cp:lastModifiedBy>
  <cp:revision>2</cp:revision>
  <cp:lastPrinted>2015-11-30T09:51:00Z</cp:lastPrinted>
  <dcterms:created xsi:type="dcterms:W3CDTF">2016-02-01T09:03:00Z</dcterms:created>
  <dcterms:modified xsi:type="dcterms:W3CDTF">2016-02-01T09:03:00Z</dcterms:modified>
</cp:coreProperties>
</file>